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A1" w:rsidRDefault="00B43F40">
      <w:pPr>
        <w:pStyle w:val="Standard"/>
        <w:jc w:val="center"/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Projekt „Multimedialna podroż ku przyszłości” RPLD.11.01.04-10-0009/21-00</w:t>
      </w:r>
      <w:bookmarkStart w:id="1" w:name="_Hlk97544320"/>
      <w:r>
        <w:rPr>
          <w:rFonts w:ascii="Calibri" w:hAnsi="Calibri" w:cs="Calibri"/>
          <w:sz w:val="20"/>
          <w:szCs w:val="20"/>
        </w:rPr>
        <w:t xml:space="preserve"> w ramach działania XI.1 Wysoka jakość edukacji współfinansowanego przez Unię Europejską z Europejskiego Funduszu </w:t>
      </w:r>
      <w:r>
        <w:rPr>
          <w:rFonts w:ascii="Calibri" w:eastAsia="Times New Roman" w:hAnsi="Calibri" w:cs="Calibri"/>
          <w:sz w:val="20"/>
          <w:szCs w:val="20"/>
        </w:rPr>
        <w:t>Społecznego</w:t>
      </w:r>
      <w:bookmarkEnd w:id="1"/>
      <w:r>
        <w:rPr>
          <w:rFonts w:ascii="Calibri" w:eastAsia="Times New Roman" w:hAnsi="Calibri" w:cs="Calibri"/>
          <w:sz w:val="20"/>
          <w:szCs w:val="20"/>
        </w:rPr>
        <w:t xml:space="preserve"> w ramach Regionalnego Programu Operacyjnego Województwa Łódzkiego na lata 2014-2020</w:t>
      </w:r>
    </w:p>
    <w:p w:rsidR="00D970A1" w:rsidRDefault="00D970A1">
      <w:pPr>
        <w:pStyle w:val="Standard"/>
        <w:tabs>
          <w:tab w:val="right" w:pos="9356"/>
        </w:tabs>
        <w:ind w:right="-17"/>
        <w:jc w:val="center"/>
        <w:rPr>
          <w:sz w:val="18"/>
          <w:szCs w:val="18"/>
        </w:rPr>
      </w:pPr>
    </w:p>
    <w:p w:rsidR="00D970A1" w:rsidRDefault="00D970A1">
      <w:pPr>
        <w:pStyle w:val="ZALACZNIKCENTER"/>
        <w:jc w:val="left"/>
        <w:rPr>
          <w:rFonts w:ascii="Calibri" w:hAnsi="Calibri" w:cs="Calibri"/>
          <w:sz w:val="22"/>
          <w:szCs w:val="22"/>
        </w:rPr>
      </w:pPr>
    </w:p>
    <w:p w:rsidR="00D970A1" w:rsidRDefault="00B43F40">
      <w:pPr>
        <w:pStyle w:val="ZALACZNIKCENTER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 3/SP170/PP/2022</w:t>
      </w:r>
    </w:p>
    <w:p w:rsidR="00D970A1" w:rsidRDefault="00D970A1">
      <w:pPr>
        <w:pStyle w:val="ZALACZNIKCENTER"/>
      </w:pPr>
    </w:p>
    <w:p w:rsidR="00D970A1" w:rsidRDefault="00B43F40">
      <w:pPr>
        <w:pStyle w:val="ZALACZNIKCENTER"/>
        <w:tabs>
          <w:tab w:val="left" w:pos="10413"/>
        </w:tabs>
        <w:ind w:right="-17"/>
        <w:rPr>
          <w:rFonts w:ascii="Tahoma" w:hAnsi="Tahoma" w:cs="Tahoma"/>
        </w:rPr>
      </w:pPr>
      <w:r>
        <w:rPr>
          <w:rFonts w:ascii="Tahoma" w:hAnsi="Tahoma" w:cs="Tahoma"/>
        </w:rPr>
        <w:t>Zapytani</w:t>
      </w:r>
      <w:r>
        <w:rPr>
          <w:rFonts w:ascii="Tahoma" w:hAnsi="Tahoma" w:cs="Tahoma"/>
        </w:rPr>
        <w:t>e cenowe dla zamówienia publicznego o wartości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nieprzekraczającej wyrażonej w złotych równowartości kwoty 130 000,00 złotych</w:t>
      </w:r>
    </w:p>
    <w:p w:rsidR="00D970A1" w:rsidRDefault="00D970A1">
      <w:pPr>
        <w:pStyle w:val="Bezodstpw"/>
      </w:pPr>
    </w:p>
    <w:p w:rsidR="00D970A1" w:rsidRDefault="00B43F40">
      <w:pPr>
        <w:pStyle w:val="ZALACZNIKTEKST"/>
      </w:pPr>
      <w:r>
        <w:rPr>
          <w:rFonts w:ascii="Tahoma" w:hAnsi="Tahoma" w:cs="Tahoma"/>
          <w:szCs w:val="20"/>
        </w:rPr>
        <w:t>W związku z prowadzonym postępowaniem o udzielenie zamówienia publicznego o wartości nieprzekraczającej wyrażonej w złotych równow</w:t>
      </w:r>
      <w:r>
        <w:rPr>
          <w:rFonts w:ascii="Tahoma" w:hAnsi="Tahoma" w:cs="Tahoma"/>
          <w:szCs w:val="20"/>
        </w:rPr>
        <w:t>artości 130 000,00 zł zwracam się z prośbą o przedstawienie oferty cenowej wykonania zamówienia obejmującego:</w:t>
      </w:r>
    </w:p>
    <w:p w:rsidR="00D970A1" w:rsidRDefault="00D970A1">
      <w:pPr>
        <w:pStyle w:val="ZALACZNIKTEKST"/>
        <w:rPr>
          <w:rFonts w:ascii="Tahoma" w:hAnsi="Tahoma" w:cs="Tahoma"/>
          <w:b/>
          <w:szCs w:val="20"/>
        </w:rPr>
      </w:pPr>
    </w:p>
    <w:p w:rsidR="00D970A1" w:rsidRDefault="00B43F40">
      <w:pPr>
        <w:pStyle w:val="Standard"/>
        <w:jc w:val="center"/>
      </w:pPr>
      <w:r>
        <w:rPr>
          <w:rFonts w:ascii="Wingdings" w:hAnsi="Wingdings" w:cs="Wingdings"/>
          <w:b/>
          <w:szCs w:val="22"/>
          <w:lang w:eastAsia="en-US"/>
        </w:rPr>
        <w:t></w:t>
      </w:r>
      <w:r>
        <w:rPr>
          <w:rFonts w:ascii="Tahoma" w:eastAsia="Calibri" w:hAnsi="Tahoma" w:cs="Tahoma"/>
          <w:b/>
          <w:szCs w:val="22"/>
          <w:lang w:eastAsia="en-US"/>
        </w:rPr>
        <w:t xml:space="preserve"> </w:t>
      </w:r>
      <w:r>
        <w:rPr>
          <w:rFonts w:ascii="Tahoma" w:eastAsia="Calibri" w:hAnsi="Tahoma" w:cs="Tahoma"/>
          <w:b/>
          <w:sz w:val="21"/>
          <w:szCs w:val="21"/>
          <w:lang w:eastAsia="en-US"/>
        </w:rPr>
        <w:t xml:space="preserve"> doposażenie</w:t>
      </w:r>
      <w:r>
        <w:rPr>
          <w:rFonts w:ascii="Tahoma" w:hAnsi="Tahoma" w:cs="Tahoma"/>
          <w:b/>
          <w:sz w:val="21"/>
          <w:szCs w:val="21"/>
        </w:rPr>
        <w:t xml:space="preserve"> szkoły w pomoce dydaktyczne oraz narzędzia TIK niezbędne do realizacji programów nauczania szczególnie w nauczaniu zdalnym dla 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>koły Podstawowej nr 170</w:t>
      </w:r>
    </w:p>
    <w:p w:rsidR="00D970A1" w:rsidRDefault="00B43F40">
      <w:pPr>
        <w:pStyle w:val="Standard"/>
        <w:jc w:val="center"/>
      </w:pPr>
      <w:r>
        <w:rPr>
          <w:rFonts w:ascii="Tahoma" w:hAnsi="Tahoma" w:cs="Tahoma"/>
          <w:sz w:val="18"/>
          <w:szCs w:val="18"/>
        </w:rPr>
        <w:t>w ramach Projektu nr RPLD.11.01.04-10-0009/21-00, pn. ”</w:t>
      </w:r>
      <w:r>
        <w:rPr>
          <w:rFonts w:ascii="Calibri" w:hAnsi="Calibri" w:cs="Calibri"/>
          <w:sz w:val="22"/>
          <w:szCs w:val="22"/>
        </w:rPr>
        <w:t>Multimedialna podróż ku przyszłości”</w:t>
      </w:r>
      <w:r>
        <w:rPr>
          <w:rFonts w:ascii="Tahoma" w:hAnsi="Tahoma" w:cs="Tahoma"/>
          <w:sz w:val="18"/>
          <w:szCs w:val="18"/>
        </w:rPr>
        <w:t xml:space="preserve">, współfinansowany ze środków Europejskiego Funduszu Społecznego w ramach Regionalnego Programu Operacyjnego Województwa Łódzkiego na lata </w:t>
      </w:r>
      <w:r>
        <w:rPr>
          <w:rFonts w:ascii="Tahoma" w:hAnsi="Tahoma" w:cs="Tahoma"/>
          <w:sz w:val="18"/>
          <w:szCs w:val="18"/>
        </w:rPr>
        <w:t>2014-2020</w:t>
      </w:r>
      <w:r>
        <w:rPr>
          <w:rFonts w:ascii="Tahoma" w:hAnsi="Tahoma" w:cs="Tahoma"/>
          <w:color w:val="201F1E"/>
          <w:sz w:val="18"/>
          <w:szCs w:val="18"/>
          <w:lang w:eastAsia="pl-PL"/>
        </w:rPr>
        <w:t>.</w:t>
      </w:r>
    </w:p>
    <w:p w:rsidR="00D970A1" w:rsidRDefault="00D970A1">
      <w:pPr>
        <w:pStyle w:val="ZALACZNIKTEKST"/>
        <w:tabs>
          <w:tab w:val="clear" w:pos="9072"/>
          <w:tab w:val="right" w:pos="9640"/>
        </w:tabs>
        <w:ind w:left="284" w:hanging="284"/>
        <w:jc w:val="left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D970A1" w:rsidRDefault="00B43F40">
      <w:pPr>
        <w:pStyle w:val="ZALACZNIKCENTER"/>
        <w:numPr>
          <w:ilvl w:val="0"/>
          <w:numId w:val="13"/>
        </w:numPr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ZAMAWIAJĄCY:</w:t>
      </w:r>
    </w:p>
    <w:p w:rsidR="00D970A1" w:rsidRDefault="00B43F40">
      <w:pPr>
        <w:pStyle w:val="ZALACZNIKCENTER"/>
        <w:ind w:left="567" w:righ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Miasto Łódź – Szkoła Podstawowa nr 170 im. Anieli </w:t>
      </w:r>
      <w:proofErr w:type="spellStart"/>
      <w:r>
        <w:rPr>
          <w:rFonts w:ascii="Calibri" w:hAnsi="Calibri" w:cs="Calibri"/>
          <w:sz w:val="22"/>
          <w:szCs w:val="22"/>
        </w:rPr>
        <w:t>Krzywoń</w:t>
      </w:r>
      <w:proofErr w:type="spellEnd"/>
    </w:p>
    <w:p w:rsidR="00D970A1" w:rsidRDefault="00B43F40">
      <w:pPr>
        <w:pStyle w:val="ZALACZNIKCENTER"/>
        <w:numPr>
          <w:ilvl w:val="0"/>
          <w:numId w:val="1"/>
        </w:numPr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ZAMÓWIENIA:</w:t>
      </w:r>
    </w:p>
    <w:p w:rsidR="00D970A1" w:rsidRDefault="00B43F40">
      <w:pPr>
        <w:pStyle w:val="ZALACZNIKCENTER"/>
        <w:ind w:left="567" w:right="0"/>
        <w:jc w:val="left"/>
      </w:pPr>
      <w:r>
        <w:t>Doposażenie  szkoły w pomoce dydaktyczne oraz narzędzia TIK</w:t>
      </w:r>
    </w:p>
    <w:p w:rsidR="00D970A1" w:rsidRDefault="00B43F40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Przedmiot zamówienia obejmuje wspólny słownik zamówień w szczególności:</w:t>
      </w:r>
    </w:p>
    <w:p w:rsidR="00D970A1" w:rsidRDefault="00B43F40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ab/>
        <w:t>30200000-1 –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urządzenia komputerowe</w:t>
      </w:r>
    </w:p>
    <w:p w:rsidR="00D970A1" w:rsidRDefault="00B43F40">
      <w:pPr>
        <w:pStyle w:val="ZALACZNIKCENTER"/>
        <w:ind w:left="0" w:right="0"/>
        <w:jc w:val="both"/>
        <w:rPr>
          <w:rFonts w:ascii="Calibri" w:hAnsi="Calibri"/>
          <w:b w:val="0"/>
          <w:bCs w:val="0"/>
          <w:sz w:val="22"/>
          <w:szCs w:val="22"/>
          <w:lang w:eastAsia="pl-PL"/>
        </w:rPr>
      </w:pPr>
      <w:r>
        <w:rPr>
          <w:rFonts w:ascii="Calibri" w:hAnsi="Calibri"/>
          <w:b w:val="0"/>
          <w:bCs w:val="0"/>
          <w:sz w:val="22"/>
          <w:szCs w:val="22"/>
          <w:lang w:eastAsia="pl-PL"/>
        </w:rPr>
        <w:tab/>
        <w:t>30236000-2 Rożny sprzęt komputerowy</w:t>
      </w:r>
    </w:p>
    <w:p w:rsidR="00D970A1" w:rsidRDefault="00B43F40">
      <w:pPr>
        <w:pStyle w:val="Textbody"/>
        <w:spacing w:after="0" w:line="38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39162100-6 Pomoce dydaktyczne</w:t>
      </w:r>
    </w:p>
    <w:p w:rsidR="00D970A1" w:rsidRDefault="00B43F40">
      <w:pPr>
        <w:pStyle w:val="Textbody"/>
        <w:spacing w:after="0" w:line="384" w:lineRule="auto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>39162110-9 Sprzęt dydaktyczny</w:t>
      </w:r>
    </w:p>
    <w:p w:rsidR="00D970A1" w:rsidRDefault="00D970A1">
      <w:pPr>
        <w:pStyle w:val="ZALACZNIKCENTER"/>
        <w:ind w:left="0" w:right="0"/>
        <w:jc w:val="both"/>
        <w:rPr>
          <w:rFonts w:ascii="Calibri" w:hAnsi="Calibri" w:cs="Calibri"/>
          <w:sz w:val="22"/>
          <w:szCs w:val="22"/>
        </w:rPr>
      </w:pPr>
    </w:p>
    <w:p w:rsidR="00D970A1" w:rsidRDefault="00B43F40">
      <w:pPr>
        <w:pStyle w:val="Akapitzlist"/>
        <w:ind w:left="0"/>
      </w:pPr>
      <w:r>
        <w:t xml:space="preserve">Przedmiotem zamówienia jest dostawa i montaż  sprzętu i pomocy dydaktycznych o podanych </w:t>
      </w:r>
      <w:r>
        <w:rPr>
          <w:sz w:val="22"/>
          <w:szCs w:val="22"/>
        </w:rPr>
        <w:t xml:space="preserve">minimalnych </w:t>
      </w:r>
      <w:r>
        <w:t>parametrach:</w:t>
      </w:r>
    </w:p>
    <w:p w:rsidR="00D970A1" w:rsidRDefault="00D970A1">
      <w:pPr>
        <w:pStyle w:val="Akapitzlist"/>
        <w:ind w:left="0"/>
      </w:pPr>
    </w:p>
    <w:tbl>
      <w:tblPr>
        <w:tblW w:w="9646" w:type="dxa"/>
        <w:tblInd w:w="-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1239"/>
        <w:gridCol w:w="6906"/>
        <w:gridCol w:w="1084"/>
      </w:tblGrid>
      <w:tr w:rsidR="00D970A1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0A1" w:rsidRDefault="00B43F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0A1" w:rsidRDefault="00B43F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0A1" w:rsidRDefault="00B43F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0A1" w:rsidRDefault="00B43F4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D970A1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</w:pPr>
            <w:r>
              <w:rPr>
                <w:bCs/>
                <w:iCs/>
              </w:rPr>
              <w:t xml:space="preserve">Zestaw </w:t>
            </w:r>
            <w:r>
              <w:rPr>
                <w:b/>
                <w:bCs/>
                <w:iCs/>
                <w:sz w:val="22"/>
                <w:szCs w:val="22"/>
              </w:rPr>
              <w:t>Robot  + tablet 10</w:t>
            </w:r>
          </w:p>
          <w:p w:rsidR="00D970A1" w:rsidRDefault="00B43F40">
            <w:pPr>
              <w:pStyle w:val="Standard"/>
              <w:widowControl/>
            </w:pP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Wymagania minimalne:                                                                                           Robot: Czas pracy: do min. 8h</w:t>
            </w:r>
          </w:p>
          <w:p w:rsidR="00D970A1" w:rsidRDefault="00B43F40">
            <w:pPr>
              <w:pStyle w:val="Standard"/>
              <w:numPr>
                <w:ilvl w:val="0"/>
                <w:numId w:val="14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Ładowanie: poprzez micro USB – do max. 3 h (przewód w zestawie)</w:t>
            </w:r>
          </w:p>
          <w:p w:rsidR="00D970A1" w:rsidRDefault="00B43F40">
            <w:pPr>
              <w:pStyle w:val="Standard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Sterowanie / </w:t>
            </w:r>
            <w:r>
              <w:rPr>
                <w:rFonts w:ascii="Calibri" w:eastAsia="Calibri" w:hAnsi="Calibri"/>
                <w:sz w:val="22"/>
                <w:szCs w:val="22"/>
              </w:rPr>
              <w:t>programowanie: aplikacja Android / iOS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Wykrywający światło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Wyczuwający dotyk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Mierzący odległość od przeszkód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Komunikujący się z innymi robotami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Mierzący przejechaną odległość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Posiadający informacje o jaki kąt się obrócił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Posiadający magnetyczne gniazda na </w:t>
            </w:r>
            <w:r>
              <w:rPr>
                <w:rFonts w:ascii="Calibri" w:eastAsia="Calibri" w:hAnsi="Calibri"/>
                <w:sz w:val="22"/>
                <w:szCs w:val="22"/>
              </w:rPr>
              <w:t>akcesoria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Wyrażający emocje poprzez wydawany dźwięk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Słyszący głośne dźwięki</w:t>
            </w:r>
          </w:p>
          <w:p w:rsidR="00D970A1" w:rsidRDefault="00B43F40">
            <w:pPr>
              <w:pStyle w:val="Standard"/>
              <w:numPr>
                <w:ilvl w:val="0"/>
                <w:numId w:val="1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Wymiary: min. 17 x 17 x 19 cm</w:t>
            </w:r>
          </w:p>
          <w:p w:rsidR="00D970A1" w:rsidRDefault="00B43F40">
            <w:pPr>
              <w:pStyle w:val="Standard"/>
              <w:autoSpaceDE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Parametry </w:t>
            </w:r>
            <w:r>
              <w:rPr>
                <w:rFonts w:ascii="Calibri" w:eastAsia="Calibri" w:hAnsi="Calibri"/>
                <w:sz w:val="22"/>
                <w:szCs w:val="22"/>
              </w:rPr>
              <w:t>Tablet:</w:t>
            </w:r>
          </w:p>
          <w:p w:rsidR="00D970A1" w:rsidRDefault="00B43F40">
            <w:pPr>
              <w:pStyle w:val="Standard"/>
              <w:numPr>
                <w:ilvl w:val="0"/>
                <w:numId w:val="16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Wyświetlacz 10,1"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FHD 1920x1200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px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IPS</w:t>
            </w:r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Procesor min. 8 rdzeni, min. 1,6 GHz</w:t>
            </w:r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Android 11</w:t>
            </w:r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Pamięć 4 RAM + 64 GB Flash</w:t>
            </w:r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Aparat przód 2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Mpx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tył 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Mpx</w:t>
            </w:r>
            <w:proofErr w:type="spellEnd"/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Bateria 6000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mAh</w:t>
            </w:r>
            <w:proofErr w:type="spellEnd"/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micro SD, jack 3,5 mm, USB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typu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C</w:t>
            </w:r>
          </w:p>
          <w:p w:rsidR="00D970A1" w:rsidRDefault="00B43F40">
            <w:pPr>
              <w:pStyle w:val="Standard"/>
              <w:numPr>
                <w:ilvl w:val="0"/>
                <w:numId w:val="5"/>
              </w:num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4G, GPS, 802.11 b/g/n/ac, BT 5.0</w:t>
            </w:r>
          </w:p>
          <w:p w:rsidR="00D970A1" w:rsidRDefault="00B43F40">
            <w:pPr>
              <w:pStyle w:val="Standard"/>
              <w:autoSpaceDE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US"/>
              </w:rPr>
              <w:t>Gwarancja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US"/>
              </w:rPr>
              <w:t xml:space="preserve"> min. 36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 w:eastAsia="en-US"/>
              </w:rPr>
              <w:t>miesiące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5 szt.</w:t>
            </w:r>
          </w:p>
        </w:tc>
      </w:tr>
      <w:tr w:rsidR="00D970A1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Podłoga</w:t>
            </w:r>
            <w:r>
              <w:rPr>
                <w:sz w:val="22"/>
                <w:szCs w:val="22"/>
              </w:rPr>
              <w:t xml:space="preserve"> interaktywna</w:t>
            </w:r>
          </w:p>
          <w:p w:rsidR="00D970A1" w:rsidRDefault="00D970A1">
            <w:pPr>
              <w:pStyle w:val="Standard"/>
              <w:rPr>
                <w:sz w:val="22"/>
                <w:szCs w:val="22"/>
              </w:rPr>
            </w:pPr>
          </w:p>
          <w:p w:rsidR="00D970A1" w:rsidRDefault="00B43F40">
            <w:pPr>
              <w:pStyle w:val="Standard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Textbody"/>
              <w:widowControl/>
              <w:spacing w:after="0" w:line="315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Model  Smart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Floor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lub równorzędna</w:t>
            </w:r>
          </w:p>
          <w:p w:rsidR="00D970A1" w:rsidRDefault="00B43F40">
            <w:pPr>
              <w:pStyle w:val="Textbody"/>
              <w:widowControl/>
              <w:spacing w:after="0" w:line="315" w:lineRule="atLeas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Technologia wyświetlania  </w:t>
            </w:r>
            <w:hyperlink r:id="rId8" w:history="1">
              <w:r>
                <w:t>DLP</w:t>
              </w:r>
            </w:hyperlink>
          </w:p>
          <w:p w:rsidR="00D970A1" w:rsidRDefault="00B43F40">
            <w:pPr>
              <w:pStyle w:val="Textbody"/>
              <w:widowControl/>
              <w:spacing w:after="0" w:line="315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Żywotność lampy w trybie normalnym minimum 4000 h</w:t>
            </w:r>
          </w:p>
          <w:p w:rsidR="00D970A1" w:rsidRDefault="00B43F40">
            <w:pPr>
              <w:pStyle w:val="Textbody"/>
              <w:widowControl/>
              <w:spacing w:after="0" w:line="315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Żywotność lampy 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trybie ekonomicznym  6000 h w trybie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eco</w:t>
            </w:r>
            <w:proofErr w:type="spellEnd"/>
          </w:p>
          <w:p w:rsidR="00D970A1" w:rsidRDefault="00B43F40">
            <w:pPr>
              <w:pStyle w:val="Textbody"/>
              <w:widowControl/>
              <w:spacing w:after="0" w:line="315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Wbudowane głośniki o mocy nominalnej 16W RMS Funkcjonalność: trzy rodzaje interakcji (ruchowa, pisaki interaktywne oraz robot)</w:t>
            </w:r>
          </w:p>
          <w:p w:rsidR="00D970A1" w:rsidRDefault="00B43F40">
            <w:pPr>
              <w:pStyle w:val="Textbody"/>
              <w:widowControl/>
              <w:spacing w:after="0" w:line="315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jasność lampy (ANSI)   3500 ANSI lumenów</w:t>
            </w:r>
          </w:p>
          <w:p w:rsidR="00D970A1" w:rsidRDefault="00B43F40">
            <w:pPr>
              <w:pStyle w:val="Textbody"/>
              <w:widowControl/>
              <w:spacing w:after="0" w:line="315" w:lineRule="atLeas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Rozdzielczość podstawowa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  <w:hyperlink r:id="rId9" w:history="1">
              <w:r>
                <w:t>1024 x 768</w:t>
              </w:r>
            </w:hyperlink>
          </w:p>
          <w:p w:rsidR="00D970A1" w:rsidRDefault="00B43F40">
            <w:pPr>
              <w:pStyle w:val="Textbody"/>
              <w:widowControl/>
              <w:spacing w:after="0" w:line="315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Kontrast (x:1) 10000 wyświetlanie obrazu bezpośrednio na podłodze bez wykorzystania technologii odbicia obrazu przez lustro</w:t>
            </w:r>
          </w:p>
          <w:p w:rsidR="00D970A1" w:rsidRDefault="00B43F40">
            <w:pPr>
              <w:pStyle w:val="Textbody"/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 zestawi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minimalne wymogi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17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x Smart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floor</w:t>
            </w:r>
            <w:proofErr w:type="spellEnd"/>
          </w:p>
          <w:p w:rsidR="00D970A1" w:rsidRPr="00963648" w:rsidRDefault="00B43F40">
            <w:pPr>
              <w:pStyle w:val="Textbody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6364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1x projektor Canon X310ST, Canon LV-X310ST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x uchwyt ścienny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7"/>
              </w:num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1x pilot do projektora,1x pilot do podłogi</w:t>
            </w:r>
          </w:p>
          <w:p w:rsidR="00D970A1" w:rsidRDefault="00B43F40">
            <w:pPr>
              <w:pStyle w:val="Textbody"/>
              <w:widowControl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instrukcja obsługi, 1x przewód zasilający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7"/>
              </w:numPr>
              <w:spacing w:after="0"/>
              <w:ind w:right="15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x pakiety aplikacji na start (</w:t>
            </w:r>
            <w:hyperlink r:id="rId10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Mali Odkrywcy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11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W krainie kolorów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12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Rusz głową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hyperlink r:id="rId13" w:history="1"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Kulko</w:t>
              </w:r>
              <w:r>
                <w:rPr>
                  <w:rFonts w:ascii="Calibri" w:hAnsi="Calibri"/>
                  <w:color w:val="000000"/>
                  <w:sz w:val="22"/>
                  <w:szCs w:val="22"/>
                  <w:u w:val="single"/>
                </w:rPr>
                <w:t>wo</w:t>
              </w:r>
            </w:hyperlink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Parametry fizyczne: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wielkość urządzenia: 25cm x 34cm x 35cm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waga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urządzenia:do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5,0 kg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rządzenie z  komputerem wbudowanym klasy PC </w:t>
            </w:r>
            <w:r>
              <w:rPr>
                <w:rFonts w:ascii="Calibri" w:hAnsi="Calibri"/>
                <w:b/>
                <w:bCs/>
                <w:color w:val="333333"/>
                <w:sz w:val="22"/>
                <w:szCs w:val="22"/>
              </w:rPr>
              <w:t>o procesor o wyniku Pass Mark co najmniej 2120 punktów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wbudowany głośnik o mocy nominalnej 16W RMS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Funkcjonalność: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trzy rodzaje interakcji (ruchowa, pisaki interaktywne oraz robot)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- 4 pisaki interaktywne w zestawie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- 3 krótkie (14cm) oraz 1 długi (54-119cm)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- 100 gier ruchowych ( w tym 20 gier z wykorzystaniem pisaka interaktywnego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możliwość dokupi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enia gier w dedykowanym sklepie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sterowanie (w tym włączanie i wyłączanie) za pomocą jednego pilota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połączenie bezprzewodowe z Internetem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dostęp do bezpłatnych aktualizacji za pośrednictwem Internetu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dostęp do serwisu zdalnego za pośrednictwem Inter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netu (bez czynnego udziału użytkownika)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kalibracja nie jest wymagana przy montażu wedle wytycznych producenta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Sposób montażu: - możliwość montażu na ścianie lub statywie (statyw w komplecie)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uchwyt VESA 100mm x 100mm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Gwarancja i serwis: - żywotność lam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py: 6000 godzin w trybie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eco</w:t>
            </w:r>
            <w:proofErr w:type="spellEnd"/>
          </w:p>
          <w:p w:rsidR="00D970A1" w:rsidRDefault="00B43F40">
            <w:pPr>
              <w:pStyle w:val="Textbody"/>
              <w:widowControl/>
              <w:spacing w:after="0"/>
              <w:ind w:right="1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lata gwarancji na całe urządzenie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wsparcie serwisu technicznego, telefonicznie i on-line  certyfikat ISO 9001 i 14001 dla serwisu - pełna instrukcja obsługi w języku polskim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4szt.</w:t>
            </w:r>
          </w:p>
        </w:tc>
      </w:tr>
      <w:tr w:rsidR="00D970A1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Standard"/>
            </w:pPr>
            <w:r>
              <w:rPr>
                <w:rFonts w:eastAsia="Arial"/>
                <w:color w:val="000000"/>
                <w:sz w:val="22"/>
                <w:szCs w:val="22"/>
              </w:rPr>
              <w:t>Akcesoria do podłogi interaktywnej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Nagwek3"/>
              <w:jc w:val="both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Statyw do podłogi interaktywnej mobilna podstawa na kółkach z możliwością blokady,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multifunkcyjny</w:t>
            </w:r>
            <w:proofErr w:type="spell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- służy jako docelowe lub tymczasowe miejsce montażu  dostosowany do optymalnego wyświetlania obrazu, po zamontowaniu na statywie, podłoga interaktywna nie wy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maga ponownej kalibracji, stalowa konstrukcja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Specyfikacja: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18"/>
              </w:numPr>
              <w:spacing w:after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szerokość podstawy: 1 m, długość podstawy: 55 cm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18"/>
              </w:numPr>
              <w:spacing w:after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minimalna wysokość podłogi interaktywnej na statywie/uzyskana wielkość obrazu: 1 m/1,7 x 1,3 m</w:t>
            </w:r>
          </w:p>
          <w:p w:rsidR="00D970A1" w:rsidRDefault="00B43F40">
            <w:pPr>
              <w:pStyle w:val="Textbody"/>
              <w:widowControl/>
              <w:numPr>
                <w:ilvl w:val="0"/>
                <w:numId w:val="18"/>
              </w:numPr>
              <w:spacing w:after="135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maksymalna wysokość na statywie/uzyskana wielkość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obrazu: 2 m/3 x 2,3 m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zestaw</w:t>
            </w:r>
          </w:p>
        </w:tc>
      </w:tr>
      <w:tr w:rsidR="00D970A1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Standard"/>
            </w:pPr>
            <w:r>
              <w:rPr>
                <w:rFonts w:ascii="Calibri" w:eastAsia="Arial" w:hAnsi="Calibri"/>
                <w:color w:val="000000"/>
                <w:sz w:val="22"/>
                <w:szCs w:val="22"/>
              </w:rPr>
              <w:t>Pakiet aplikacji do podłogi interaktywnej</w:t>
            </w: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both"/>
              <w:rPr>
                <w:rFonts w:cs="Arial"/>
                <w:color w:val="111111"/>
                <w:sz w:val="22"/>
                <w:szCs w:val="22"/>
              </w:rPr>
            </w:pPr>
            <w:r>
              <w:rPr>
                <w:rFonts w:cs="Arial"/>
                <w:color w:val="111111"/>
                <w:sz w:val="22"/>
                <w:szCs w:val="22"/>
              </w:rPr>
              <w:t>Pakiety do nauki</w:t>
            </w:r>
          </w:p>
          <w:p w:rsidR="00D970A1" w:rsidRDefault="00B43F40">
            <w:pPr>
              <w:pStyle w:val="Akapitzlist"/>
              <w:numPr>
                <w:ilvl w:val="0"/>
                <w:numId w:val="19"/>
              </w:numPr>
              <w:ind w:left="454" w:hanging="283"/>
              <w:jc w:val="both"/>
            </w:pPr>
            <w:r>
              <w:rPr>
                <w:rFonts w:cs="Arial"/>
                <w:b/>
                <w:bCs/>
                <w:color w:val="111111"/>
                <w:sz w:val="22"/>
                <w:szCs w:val="22"/>
              </w:rPr>
              <w:t>kodowania</w:t>
            </w:r>
            <w:r>
              <w:rPr>
                <w:rFonts w:cs="Arial"/>
                <w:color w:val="111111"/>
                <w:sz w:val="22"/>
                <w:szCs w:val="22"/>
              </w:rPr>
              <w:t xml:space="preserve"> poprzez gry - zaawansowany kurs algorytmiki-budowanie algorytmów, programowanie współbieżne. Zestaw wyzwań o stopniowanym poziomie trudności do pracy indywidualnej i zespołowej, dla osób w wieku 10+, na stanowiska komputerowe, tablice interaktywne lub pod</w:t>
            </w:r>
            <w:r>
              <w:rPr>
                <w:rFonts w:cs="Arial"/>
                <w:color w:val="111111"/>
                <w:sz w:val="22"/>
                <w:szCs w:val="22"/>
              </w:rPr>
              <w:t>łogi interaktywne. Kodowanie (np. Koduj z Avą) - min 54 aplikacje, które tworzą 7 działów tematycznych: Graficzne kodowanie, Sekwencje, Labirynty, Wyznaczanie trasy, Litery i słowa, Cyfry i działania, Współrzędne.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color w:val="111111"/>
                <w:sz w:val="22"/>
                <w:szCs w:val="22"/>
              </w:rPr>
              <w:t xml:space="preserve">Pozwolą na: rozumienie pojęć takich jak: </w:t>
            </w:r>
            <w:r>
              <w:rPr>
                <w:rFonts w:cs="Arial"/>
                <w:color w:val="111111"/>
                <w:sz w:val="22"/>
                <w:szCs w:val="22"/>
              </w:rPr>
              <w:t>instrukcja, algorytm, sekwencja, pętla, zdarzenia; stosowania algorytmów; odczytywanie i zaznaczanie położenia punktów (pól) w układzie współrzędnych, umiejętność czytania, klasyfikację przedmiotów;</w:t>
            </w:r>
          </w:p>
          <w:p w:rsidR="00D970A1" w:rsidRDefault="00B43F40">
            <w:pPr>
              <w:pStyle w:val="Akapitzlist"/>
              <w:numPr>
                <w:ilvl w:val="0"/>
                <w:numId w:val="19"/>
              </w:numPr>
              <w:ind w:left="454" w:hanging="283"/>
              <w:jc w:val="both"/>
            </w:pPr>
            <w:r>
              <w:rPr>
                <w:rFonts w:cs="Arial"/>
                <w:b/>
                <w:bCs/>
                <w:color w:val="111111"/>
                <w:sz w:val="22"/>
                <w:szCs w:val="22"/>
              </w:rPr>
              <w:t>matematyki</w:t>
            </w:r>
            <w:r>
              <w:rPr>
                <w:rFonts w:cs="Arial"/>
                <w:color w:val="111111"/>
                <w:sz w:val="22"/>
                <w:szCs w:val="22"/>
              </w:rPr>
              <w:t xml:space="preserve"> (np. Mały matematyk</w:t>
            </w:r>
            <w:r>
              <w:rPr>
                <w:rFonts w:cs="Arial"/>
                <w:b/>
                <w:bCs/>
                <w:color w:val="11111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111111"/>
                <w:sz w:val="22"/>
                <w:szCs w:val="22"/>
              </w:rPr>
              <w:t xml:space="preserve"> dla dzieci w wieku od 6 d</w:t>
            </w:r>
            <w:r>
              <w:rPr>
                <w:rFonts w:cs="Arial"/>
                <w:color w:val="111111"/>
                <w:sz w:val="22"/>
                <w:szCs w:val="22"/>
              </w:rPr>
              <w:t>o 10 lat poprzez łamigłówki matematyczne związane z dodawaniem, odejmowaniem, mnożeniem i dzieleniem w zakresie do 100, sortowaniem, wyborem właściwych lub niepasujących elementów, zadania na zbiorach, liczbach, kształtach, godzinach, animacje, które pomag</w:t>
            </w:r>
            <w:r>
              <w:rPr>
                <w:rFonts w:cs="Arial"/>
                <w:color w:val="111111"/>
                <w:sz w:val="22"/>
                <w:szCs w:val="22"/>
              </w:rPr>
              <w:t>ają zrozumieć różne matematyczne zależności, np. upływ czasu, ułamki poprzez  zabawy i gry matematyczne,</w:t>
            </w:r>
          </w:p>
          <w:p w:rsidR="00D970A1" w:rsidRDefault="00B43F40">
            <w:pPr>
              <w:pStyle w:val="Akapitzlist"/>
              <w:numPr>
                <w:ilvl w:val="0"/>
                <w:numId w:val="19"/>
              </w:numPr>
              <w:ind w:left="454" w:hanging="283"/>
              <w:jc w:val="both"/>
            </w:pPr>
            <w:r>
              <w:rPr>
                <w:rFonts w:cs="Arial"/>
                <w:b/>
                <w:bCs/>
                <w:color w:val="111111"/>
                <w:sz w:val="22"/>
                <w:szCs w:val="22"/>
              </w:rPr>
              <w:t xml:space="preserve">algorytmiki (np. Kosmiczna przygoda) podstawowe umiejętności algorytmiczne: </w:t>
            </w:r>
            <w:r>
              <w:rPr>
                <w:sz w:val="22"/>
                <w:szCs w:val="22"/>
              </w:rPr>
              <w:t>tworzenie algorytmów z użyciem pętli, warunków i funkcji</w:t>
            </w:r>
            <w:r>
              <w:rPr>
                <w:rFonts w:cs="Arial"/>
                <w:b/>
                <w:bCs/>
                <w:color w:val="111111"/>
                <w:sz w:val="22"/>
                <w:szCs w:val="22"/>
              </w:rPr>
              <w:t xml:space="preserve">. </w:t>
            </w:r>
            <w:r>
              <w:rPr>
                <w:rFonts w:cs="Arial"/>
                <w:color w:val="111111"/>
                <w:sz w:val="22"/>
                <w:szCs w:val="22"/>
              </w:rPr>
              <w:t>Sekwencje i algor</w:t>
            </w:r>
            <w:r>
              <w:rPr>
                <w:rFonts w:cs="Arial"/>
                <w:color w:val="111111"/>
                <w:sz w:val="22"/>
                <w:szCs w:val="22"/>
              </w:rPr>
              <w:t>ytmy, Pętle licznikowe, Pętle w pętli, Warunki, Pętle warunkowe, Funkcje.</w:t>
            </w:r>
          </w:p>
          <w:p w:rsidR="00D970A1" w:rsidRDefault="00B43F40">
            <w:pPr>
              <w:pStyle w:val="Akapitzlist"/>
              <w:numPr>
                <w:ilvl w:val="0"/>
                <w:numId w:val="19"/>
              </w:numPr>
              <w:ind w:left="454" w:hanging="283"/>
              <w:jc w:val="both"/>
            </w:pPr>
            <w:r>
              <w:rPr>
                <w:rStyle w:val="StrongEmphasis"/>
                <w:i/>
                <w:iCs/>
                <w:color w:val="111111"/>
                <w:sz w:val="22"/>
                <w:szCs w:val="22"/>
                <w:shd w:val="clear" w:color="auto" w:fill="FFFFFF"/>
              </w:rPr>
              <w:t xml:space="preserve">angielskiego </w:t>
            </w:r>
            <w:r>
              <w:rPr>
                <w:rStyle w:val="StrongEmphasis"/>
                <w:b w:val="0"/>
                <w:bCs w:val="0"/>
                <w:color w:val="111111"/>
                <w:sz w:val="22"/>
                <w:szCs w:val="22"/>
              </w:rPr>
              <w:t>Pakiet aplikacji interaktywnych -</w:t>
            </w:r>
            <w:r>
              <w:rPr>
                <w:rStyle w:val="StrongEmphasis"/>
                <w:i/>
                <w:iCs/>
                <w:color w:val="111111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Style w:val="StrongEmphasis"/>
                <w:b w:val="0"/>
                <w:bCs w:val="0"/>
                <w:color w:val="111111"/>
                <w:sz w:val="22"/>
                <w:szCs w:val="22"/>
              </w:rPr>
              <w:t>gry</w:t>
            </w:r>
            <w:r>
              <w:rPr>
                <w:rStyle w:val="StrongEmphasis"/>
                <w:b w:val="0"/>
                <w:color w:val="111111"/>
                <w:sz w:val="22"/>
                <w:szCs w:val="22"/>
              </w:rPr>
              <w:t xml:space="preserve"> planszowa dla dzieci w wieku szkolnym</w:t>
            </w:r>
            <w:r>
              <w:rPr>
                <w:rStyle w:val="StrongEmphasis"/>
                <w:color w:val="111111"/>
                <w:sz w:val="22"/>
                <w:szCs w:val="22"/>
              </w:rPr>
              <w:t xml:space="preserve">, </w:t>
            </w:r>
            <w:r>
              <w:rPr>
                <w:rStyle w:val="StrongEmphasis"/>
                <w:b w:val="0"/>
                <w:bCs w:val="0"/>
                <w:color w:val="111111"/>
                <w:sz w:val="22"/>
                <w:szCs w:val="22"/>
              </w:rPr>
              <w:t>wspierające naukę angielskiego i wielokierunkową aktywność dziecka.</w:t>
            </w:r>
          </w:p>
          <w:p w:rsidR="00D970A1" w:rsidRDefault="00D970A1">
            <w:pPr>
              <w:pStyle w:val="Akapitzlist"/>
              <w:ind w:left="0"/>
              <w:jc w:val="both"/>
            </w:pPr>
          </w:p>
          <w:p w:rsidR="00D970A1" w:rsidRDefault="00B43F40">
            <w:pPr>
              <w:pStyle w:val="Textbody"/>
              <w:jc w:val="both"/>
            </w:pPr>
            <w:r>
              <w:rPr>
                <w:rFonts w:ascii="Calibri" w:hAnsi="Calibri"/>
                <w:color w:val="111111"/>
                <w:sz w:val="22"/>
                <w:szCs w:val="22"/>
                <w:shd w:val="clear" w:color="auto" w:fill="FFFFFF"/>
              </w:rPr>
              <w:t xml:space="preserve">Aplikacje składają </w:t>
            </w:r>
            <w:r>
              <w:rPr>
                <w:rFonts w:ascii="Calibri" w:hAnsi="Calibri"/>
                <w:color w:val="111111"/>
                <w:sz w:val="22"/>
                <w:szCs w:val="22"/>
                <w:shd w:val="clear" w:color="auto" w:fill="FFFFFF"/>
              </w:rPr>
              <w:t>się z interaktywnych plansz do kodowania z siatką pól o różnej wielkości - od 3x3 do 10x10. Zawierają panel użytkownika, który oferuje funkcje pomocne w pracy z planszą, z możliwością różnicowania poziomu trudności za pomocą rozmiaru stosowanych plansz, dł</w:t>
            </w:r>
            <w:r>
              <w:rPr>
                <w:rFonts w:ascii="Calibri" w:hAnsi="Calibri"/>
                <w:color w:val="111111"/>
                <w:sz w:val="22"/>
                <w:szCs w:val="22"/>
                <w:shd w:val="clear" w:color="auto" w:fill="FFFFFF"/>
              </w:rPr>
              <w:t>ugości wyznaczanych tras, złożoności zastosowanych wzorów, zakresu wprowadzanych działań matematycznych, ilości elementów do zebrania lub ominięcia na planszach. 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B43F40">
            <w:pPr>
              <w:pStyle w:val="Akapitzlist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 szt.</w:t>
            </w:r>
          </w:p>
        </w:tc>
      </w:tr>
      <w:tr w:rsidR="00D970A1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D970A1">
            <w:pPr>
              <w:pStyle w:val="Akapitzlist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D970A1">
            <w:pPr>
              <w:pStyle w:val="Standard"/>
              <w:autoSpaceDE w:val="0"/>
            </w:pPr>
          </w:p>
        </w:tc>
        <w:tc>
          <w:tcPr>
            <w:tcW w:w="69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D970A1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0A1" w:rsidRDefault="00D970A1">
            <w:pPr>
              <w:pStyle w:val="Akapitzlist"/>
              <w:ind w:left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D970A1" w:rsidRDefault="00D970A1">
      <w:pPr>
        <w:pStyle w:val="Akapitzlist"/>
        <w:ind w:left="0"/>
        <w:jc w:val="both"/>
        <w:rPr>
          <w:b/>
          <w:i/>
        </w:rPr>
      </w:pPr>
    </w:p>
    <w:p w:rsidR="00D970A1" w:rsidRDefault="00D970A1">
      <w:pPr>
        <w:pStyle w:val="Akapitzlist"/>
        <w:ind w:left="0"/>
        <w:rPr>
          <w:b/>
        </w:rPr>
      </w:pPr>
    </w:p>
    <w:p w:rsidR="00D970A1" w:rsidRDefault="00B43F40">
      <w:pPr>
        <w:pStyle w:val="Akapitzlist"/>
        <w:ind w:left="0"/>
        <w:jc w:val="center"/>
        <w:rPr>
          <w:b/>
        </w:rPr>
      </w:pPr>
      <w:r>
        <w:rPr>
          <w:b/>
        </w:rPr>
        <w:t xml:space="preserve">Szczegółowy opis przedmiotu zamówienia dla systemów operacyjnych </w:t>
      </w:r>
      <w:r>
        <w:rPr>
          <w:b/>
        </w:rPr>
        <w:t>zainstalowanych na komputerach o których mowa w zapytaniu ofertowym</w:t>
      </w:r>
    </w:p>
    <w:p w:rsidR="00D970A1" w:rsidRDefault="00D970A1">
      <w:pPr>
        <w:pStyle w:val="Akapitzlist"/>
        <w:ind w:left="0"/>
        <w:jc w:val="center"/>
        <w:rPr>
          <w:b/>
        </w:rPr>
      </w:pPr>
    </w:p>
    <w:p w:rsidR="00D970A1" w:rsidRDefault="00B43F40">
      <w:pPr>
        <w:pStyle w:val="Akapitzlist"/>
        <w:ind w:left="0" w:firstLine="142"/>
      </w:pPr>
      <w:r>
        <w:t>System operacyjny musi być fabrycznie nowy (nigdy wcześniej nie instalowany ani nie aktywowany) zainstalowany na urządzeniu i zarejestrowany oraz spełniać następujące wymagania poprzez wb</w:t>
      </w:r>
      <w:r>
        <w:t>udowane mechanizmy, bez użycia dodatkowych aplikacji:</w:t>
      </w:r>
    </w:p>
    <w:p w:rsidR="00D970A1" w:rsidRDefault="00B43F40">
      <w:pPr>
        <w:pStyle w:val="Akapitzlist"/>
        <w:numPr>
          <w:ilvl w:val="0"/>
          <w:numId w:val="20"/>
        </w:numPr>
        <w:suppressAutoHyphens w:val="0"/>
      </w:pPr>
      <w:r>
        <w:t>System posiadający nieograniczoną w czasie licencję na warunkach producenta.</w:t>
      </w:r>
    </w:p>
    <w:p w:rsidR="00D970A1" w:rsidRDefault="00B43F40">
      <w:pPr>
        <w:pStyle w:val="Akapitzlist"/>
        <w:numPr>
          <w:ilvl w:val="0"/>
          <w:numId w:val="8"/>
        </w:numPr>
        <w:suppressAutoHyphens w:val="0"/>
      </w:pPr>
      <w:r>
        <w:t>System zainstalowany na komputerach opisanych w punkcie 2 tabeli</w:t>
      </w:r>
    </w:p>
    <w:p w:rsidR="00D970A1" w:rsidRDefault="00B43F40">
      <w:pPr>
        <w:pStyle w:val="Akapitzlist"/>
        <w:numPr>
          <w:ilvl w:val="0"/>
          <w:numId w:val="8"/>
        </w:numPr>
        <w:suppressAutoHyphens w:val="0"/>
      </w:pPr>
      <w:r>
        <w:t>Dostępne dwa rodzaje graficznego interfejsu użytkownika:</w:t>
      </w:r>
    </w:p>
    <w:p w:rsidR="00D970A1" w:rsidRDefault="00B43F40">
      <w:pPr>
        <w:pStyle w:val="Akapitzlist"/>
        <w:numPr>
          <w:ilvl w:val="1"/>
          <w:numId w:val="21"/>
        </w:numPr>
        <w:suppressAutoHyphens w:val="0"/>
      </w:pPr>
      <w:r>
        <w:t>Kla</w:t>
      </w:r>
      <w:r>
        <w:t>syczny, umożliwiający obsługę przy pomocy klawiatury i myszy,</w:t>
      </w:r>
    </w:p>
    <w:p w:rsidR="00D970A1" w:rsidRDefault="00B43F40">
      <w:pPr>
        <w:pStyle w:val="Akapitzlist"/>
        <w:numPr>
          <w:ilvl w:val="1"/>
          <w:numId w:val="21"/>
        </w:numPr>
        <w:suppressAutoHyphens w:val="0"/>
      </w:pPr>
      <w:r>
        <w:t>Dotykowy umożliwiający sterowanie dotykiem na urządzeniach typu tablet lub m</w:t>
      </w:r>
      <w:r>
        <w:t>o</w:t>
      </w:r>
      <w:r>
        <w:t>nitorach dotykowych,</w:t>
      </w:r>
    </w:p>
    <w:p w:rsidR="00D970A1" w:rsidRDefault="00B43F40">
      <w:pPr>
        <w:pStyle w:val="Akapitzlist"/>
        <w:suppressAutoHyphens w:val="0"/>
        <w:ind w:left="0"/>
      </w:pPr>
      <w:r>
        <w:t xml:space="preserve">       4.</w:t>
      </w:r>
      <w:r>
        <w:tab/>
        <w:t>Interfejs użytkownika dostępny w języku Polskim.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Możliwość dokonywania bezpłatnych akt</w:t>
      </w:r>
      <w:r>
        <w:t>ualizacji i poprawek w ramach wersji sy</w:t>
      </w:r>
      <w:r>
        <w:t>s</w:t>
      </w:r>
      <w:r>
        <w:t>temu operacyjnego poprzez Internet, mechanizmem udostępnianym przez producenta sy</w:t>
      </w:r>
      <w:r>
        <w:t>s</w:t>
      </w:r>
      <w:r>
        <w:t>temu z możliwością wyboru instalowanych poprawek oraz mechanizmem sprawdzającym, które z poprawek są potrzebne.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Możliwość dokonywania </w:t>
      </w:r>
      <w:r>
        <w:t>aktualizacji i poprawek systemu poprzez mechanizm zarz</w:t>
      </w:r>
      <w:r>
        <w:t>ą</w:t>
      </w:r>
      <w:r>
        <w:t>dzany przez administratora systemu Zamawiającego.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Dostępność bezpłatnych biuletynów bezpieczeństwa związanych z działaniem sy</w:t>
      </w:r>
      <w:r>
        <w:t>s</w:t>
      </w:r>
      <w:r>
        <w:t>temu operacyjnego.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Wbudowana zapora internetowa (firewall) dla ochrony połą</w:t>
      </w:r>
      <w:r>
        <w:t>czeń internetowych; zi</w:t>
      </w:r>
      <w:r>
        <w:t>n</w:t>
      </w:r>
      <w:r>
        <w:t>tegrowana z systemem konsola do zarządzania ustawieniami zapory i regułami IPv4 i IPv6.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Wbudowane mechanizmy ochrony antywirusowej i przeciw złośliwemu oprogram</w:t>
      </w:r>
      <w:r>
        <w:t>o</w:t>
      </w:r>
      <w:r>
        <w:t>waniu z zapewnionymi bezpłatnymi aktualizacjami.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Zlokalizowane w języku </w:t>
      </w:r>
      <w:r>
        <w:t>polskim, co najmniej następujące elementy: menu, odtw</w:t>
      </w:r>
      <w:r>
        <w:t>a</w:t>
      </w:r>
      <w:r>
        <w:t>rzacz multimediów, pomoc, komunikaty systemowe.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Graficzne środowisko instalacji i konfiguracji dostępne w języku polskim.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Wsparcie dla większości powszechnie używanych urządzeń peryferyjnych (drukarek, </w:t>
      </w:r>
      <w:r>
        <w:t xml:space="preserve">urządzeń sieciowych, standardów USB, </w:t>
      </w:r>
      <w:proofErr w:type="spellStart"/>
      <w:r>
        <w:t>Plug&amp;Play</w:t>
      </w:r>
      <w:proofErr w:type="spellEnd"/>
      <w:r>
        <w:t>, Wi-Fi),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Funkcjonalność automatycznej zmiany domyślnej drukarki w zależności od sieci, do której podłączony jest komputer.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Możliwość zarządzania stacją roboczą poprzez polityki grupowe – przez politykę  Zamawi</w:t>
      </w:r>
      <w:r>
        <w:t>ający rozumie zestaw reguł definiujących lub ograniczających funkcjonalność syst</w:t>
      </w:r>
      <w:r>
        <w:t>e</w:t>
      </w:r>
      <w:r>
        <w:t>mu lub aplikacji.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Rozbudowane, definiowalne polityki bezpieczeństwa – polityki dla systemu oper</w:t>
      </w:r>
      <w:r>
        <w:t>a</w:t>
      </w:r>
      <w:r>
        <w:t>cyjnego i dla wskazanych aplikacji.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Zabezpieczony hasłem hierarchiczny dostęp d</w:t>
      </w:r>
      <w:r>
        <w:t>o systemu, konta i profile użytkown</w:t>
      </w:r>
      <w:r>
        <w:t>i</w:t>
      </w:r>
      <w:r>
        <w:t>ków zarządzane zdalnie; praca systemu w trybie ochrony kont użytkowników.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Zintegrowany z systemem moduł wyszukiwania informacji (plików różnego typu, tekstów, metadanych) dostępny z kilku poziomów: poziom menu, poziom ot</w:t>
      </w:r>
      <w:r>
        <w:t>wartego okna systemu operacyjnego; system wyszukiwania oparty na konfigurowalnym przez użytkownika module indeksacji zasobów lokalnych.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Zintegrowany z systemem operacyjnym moduł synchronizacji komputera z urządz</w:t>
      </w:r>
      <w:r>
        <w:t>e</w:t>
      </w:r>
      <w:r>
        <w:t xml:space="preserve">niami zewnętrznymi.  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Wbudowany system </w:t>
      </w:r>
      <w:r>
        <w:t>pomocy w języku polskim.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Możliwość przystosowania stanowiska dla osób niepełnosprawnych (np. słabo w</w:t>
      </w:r>
      <w:r>
        <w:t>i</w:t>
      </w:r>
      <w:r>
        <w:t>dzących).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Wsparcie dla IPSEC oparte na politykach – wdrażanie IPSEC oparte na zestawach r</w:t>
      </w:r>
      <w:r>
        <w:t>e</w:t>
      </w:r>
      <w:r>
        <w:t>guł definiujących ustawienia zarządzanych w sposób centralny.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Aut</w:t>
      </w:r>
      <w:r>
        <w:t>omatyczne występowanie i używanie (wystawianie) certyfikatów PKI X.509.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Zdalna pomoc i współdzielenie aplikacji – możliwość zdalnego przejęcia sesji zal</w:t>
      </w:r>
      <w:r>
        <w:t>o</w:t>
      </w:r>
      <w:r>
        <w:t>gowanego użytkownika celem rozwiązania problemu z komputerem.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Rozwiązanie służące do automatycznego zbu</w:t>
      </w:r>
      <w:r>
        <w:t>dowania obrazu systemu wraz z aplik</w:t>
      </w:r>
      <w:r>
        <w:t>a</w:t>
      </w:r>
      <w:r>
        <w:t>cjami. Obraz systemu służyć ma do automatycznego upowszechnienia systemu operacyjn</w:t>
      </w:r>
      <w:r>
        <w:t>e</w:t>
      </w:r>
      <w:r>
        <w:t>go inicjowanego i wykonywanego w całości poprzez sieć komputerową.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Transakcyjny system plików pozwalający na stosowanie przydziałów (ang.</w:t>
      </w:r>
      <w:r>
        <w:t xml:space="preserve"> </w:t>
      </w:r>
      <w:proofErr w:type="spellStart"/>
      <w:r>
        <w:t>quota</w:t>
      </w:r>
      <w:proofErr w:type="spellEnd"/>
      <w:r>
        <w:t>) na dysku dla użytkowników oraz zapewniający większą niezawodność i pozwalający tworzyć kopie zapasowe.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Zarządzanie kontami użytkowników sieci oraz urządzeniami sieciowymi tj. drukarki, modemy, woluminy dyskowe, usługi katalogowe.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Udostępnianie mode</w:t>
      </w:r>
      <w:r>
        <w:t>mu.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Oprogramowanie dla tworzenia kopii zapasowych (Backup); automatyczne wykon</w:t>
      </w:r>
      <w:r>
        <w:t>y</w:t>
      </w:r>
      <w:r>
        <w:t>wanie kopii plików z możliwością automatycznego przywrócenia wersji wcześniejszej.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Możliwość przywracania obrazu plików systemowych do uprzednio zapisanej postaci.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Identyfikacja</w:t>
      </w:r>
      <w:r>
        <w:t xml:space="preserve"> sieci komputerowych, do których jest podłączony system operacyjny, zapamiętywanie ustawień i przypisywanie do min. 3 kategorii bezpieczeństwa (z predef</w:t>
      </w:r>
      <w:r>
        <w:t>i</w:t>
      </w:r>
      <w:r>
        <w:t>niowanymi odpowiednio do kategorii ustawieniami zapory sieciowej, udostępniania plików itp.).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Możliwość</w:t>
      </w:r>
      <w:r>
        <w:t xml:space="preserve"> blokowania lub dopuszczania dowolnych urządzeń peryferyjnych za p</w:t>
      </w:r>
      <w:r>
        <w:t>o</w:t>
      </w:r>
      <w:r>
        <w:t>mocą polityk grupowych (np. przy użyciu numerów identyfikacyjnych sprzętu).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Wbudowany mechanizm wirtualizacji typu </w:t>
      </w:r>
      <w:proofErr w:type="spellStart"/>
      <w:r>
        <w:t>hypervisor</w:t>
      </w:r>
      <w:proofErr w:type="spellEnd"/>
      <w:r>
        <w:t>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Wbudowany mechanizm szyfrowania dysków wewnętrznych i zewnętrz</w:t>
      </w:r>
      <w:r>
        <w:t>nych z mo</w:t>
      </w:r>
      <w:r>
        <w:t>ż</w:t>
      </w:r>
      <w:r>
        <w:t>liwością szyfrowania ograniczonego do danych użytkownika.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Wbudowane w system narzędzie do szyfrowania partycji systemowych komputera, z możliwością przechowywania certyfikatów „w </w:t>
      </w:r>
      <w:proofErr w:type="spellStart"/>
      <w:r>
        <w:t>mikrochipie</w:t>
      </w:r>
      <w:proofErr w:type="spellEnd"/>
      <w:r>
        <w:t xml:space="preserve"> TPM (</w:t>
      </w:r>
      <w:proofErr w:type="spellStart"/>
      <w:r>
        <w:t>Trusted</w:t>
      </w:r>
      <w:proofErr w:type="spellEnd"/>
      <w:r>
        <w:t xml:space="preserve"> Platform Module) w wersji minimum 1.2 lub </w:t>
      </w:r>
      <w:r>
        <w:t>na kluczach pamięci przenośnej USB.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Wbudowane w system narzędzie do szyfrowania dysków przenośnych, z możliwością centralnego zarządzania poprzez polityki grupowe, pozwalające na wymuszenie szyfrowania dysków przenośnych.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Możliwość tworzenia i przechowywan</w:t>
      </w:r>
      <w:r>
        <w:t>ia kopii zapasowych kluczy odzyskiwania do szyfrowania partycji w usługach katalogowych.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Możliwość nieodpłatnego instalowania dodatkowych języków interfejsu systemu operacyjnego oraz możliwość zmiany języka bez konieczności </w:t>
      </w:r>
      <w:proofErr w:type="spellStart"/>
      <w:r>
        <w:t>reinstalacji</w:t>
      </w:r>
      <w:proofErr w:type="spellEnd"/>
      <w:r>
        <w:t xml:space="preserve"> systemu.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Możliwość </w:t>
      </w:r>
      <w:r>
        <w:t>włączenia na komputerze z oferowanym systemem operacyjnym funkcji Podłączanie pulpitu zdalnego, dzięki któremu można się z nim połączyć z innego komputera.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>Zaimplementowany fabrycznie mechanizm odtwarzania systemu operacyjnego z ukrytej partycji znajdujące</w:t>
      </w:r>
      <w:r>
        <w:t>j się na dysku twardym komputera.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</w:pPr>
      <w:r>
        <w:t xml:space="preserve">Możliwość dokonania samodzielnego, bezpłatnego </w:t>
      </w:r>
      <w:proofErr w:type="spellStart"/>
      <w:r>
        <w:t>downgrade</w:t>
      </w:r>
      <w:proofErr w:type="spellEnd"/>
      <w:r>
        <w:t xml:space="preserve"> do poprzedniej we</w:t>
      </w:r>
      <w:r>
        <w:t>r</w:t>
      </w:r>
      <w:r>
        <w:t>sji systemu.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  <w:rPr>
          <w:color w:val="000000"/>
        </w:rPr>
      </w:pPr>
      <w:r>
        <w:rPr>
          <w:color w:val="000000"/>
        </w:rPr>
        <w:t>sprzęt ma posiadać system operacyjny, który zapewni możliwość pracy grupowej np. Windows Professional.</w:t>
      </w:r>
    </w:p>
    <w:p w:rsidR="00D970A1" w:rsidRDefault="00B43F40">
      <w:pPr>
        <w:pStyle w:val="Akapitzlist"/>
        <w:numPr>
          <w:ilvl w:val="0"/>
          <w:numId w:val="21"/>
        </w:numPr>
        <w:suppressAutoHyphens w:val="0"/>
        <w:rPr>
          <w:color w:val="000000"/>
        </w:rPr>
      </w:pPr>
      <w:r>
        <w:rPr>
          <w:color w:val="000000"/>
        </w:rPr>
        <w:t xml:space="preserve">Ze względu na wejście w życie </w:t>
      </w:r>
      <w:r>
        <w:rPr>
          <w:color w:val="000000"/>
        </w:rPr>
        <w:t>Rozporządzenia o Ochronie Danych Osobowych „R</w:t>
      </w:r>
      <w:r>
        <w:rPr>
          <w:color w:val="000000"/>
        </w:rPr>
        <w:t>O</w:t>
      </w:r>
      <w:r>
        <w:rPr>
          <w:color w:val="000000"/>
        </w:rPr>
        <w:t>DO”, nowo zakupiony sprzęt przenośny winien być wyposażony w oprogramowanie szyfr</w:t>
      </w:r>
      <w:r>
        <w:rPr>
          <w:color w:val="000000"/>
        </w:rPr>
        <w:t>u</w:t>
      </w:r>
      <w:r>
        <w:rPr>
          <w:color w:val="000000"/>
        </w:rPr>
        <w:t xml:space="preserve">jące, w tym celu można wykorzystać 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>: program „BitLocker”, który jest częścią systemu operacyjnego Windows 10 Pro oraz Windowsa</w:t>
      </w:r>
      <w:r>
        <w:rPr>
          <w:color w:val="000000"/>
        </w:rPr>
        <w:t xml:space="preserve"> 11 Pro.</w:t>
      </w:r>
    </w:p>
    <w:p w:rsidR="00D970A1" w:rsidRDefault="00B43F40">
      <w:pPr>
        <w:pStyle w:val="Standard"/>
        <w:numPr>
          <w:ilvl w:val="0"/>
          <w:numId w:val="21"/>
        </w:numPr>
        <w:suppressAutoHyphens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Całe oprogramowanie musi być dostarczone w wersji umożliwiającej jego użytkowanie, bez limitów czasowych oraz konieczności ponoszenia jakichkolwiek innych opłat przez użytkownika.</w:t>
      </w:r>
    </w:p>
    <w:p w:rsidR="00D970A1" w:rsidRDefault="00B43F4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zastrzega, że wszędzie tam gdzie w treści opisu przed</w:t>
      </w:r>
      <w:r>
        <w:rPr>
          <w:rFonts w:ascii="Calibri" w:hAnsi="Calibri" w:cs="Calibri"/>
        </w:rPr>
        <w:t>miotu zamówienia, zostały wskazane znaki towarowe, patenty, rodzaje lub specyficzne pochodzenie, źródła lub szczegółowe procesy, które charakteryzują produkty lub usługi dostarczane przez konkretnego wykonawcę Zamawiający dopuszcza metody, materiały, urząd</w:t>
      </w:r>
      <w:r>
        <w:rPr>
          <w:rFonts w:ascii="Calibri" w:hAnsi="Calibri" w:cs="Calibri"/>
        </w:rPr>
        <w:t>zenia, systemy, technologie itp. równoważne do przedstawionych w opisie przedmiotu zamówienia. Dopuszcza się zaproponowanie w ofercie wszelkich równoważnych odpowiedników rynkowych o właściwościach nie gorszych niż wskazane przez Zamawiającego. Parametry w</w:t>
      </w:r>
      <w:r>
        <w:rPr>
          <w:rFonts w:ascii="Calibri" w:hAnsi="Calibri" w:cs="Calibri"/>
        </w:rPr>
        <w:t>skazanego standardu określają minimalne warunki techniczne, eksploatacyjne, użytkowe, jakościowe i funkcjonalne, jakie ma spełniać przedmiot zamówienia. Wskazane znaki towarowe, patenty, marki lub nazwy producenta czy źródła lub szczególne procesy wskazują</w:t>
      </w:r>
      <w:r>
        <w:rPr>
          <w:rFonts w:ascii="Calibri" w:hAnsi="Calibri" w:cs="Calibri"/>
        </w:rPr>
        <w:t>ce na pochodzenie określają jedynie klasę produktu, metody, itp.</w:t>
      </w:r>
    </w:p>
    <w:p w:rsidR="00D970A1" w:rsidRDefault="00B43F4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ofercie można przyjąć urządzenia, systemy, technologie itp. innych marek i producentów, jednak o parametrach technicznych, jakościowych i właściwościach użytkowych oraz funkcjonalnych odpow</w:t>
      </w:r>
      <w:r>
        <w:rPr>
          <w:rFonts w:ascii="Calibri" w:hAnsi="Calibri" w:cs="Calibri"/>
        </w:rPr>
        <w:t xml:space="preserve">iadających metodom, materiałom, urządzeniom, systemom, technologiom itp. opisanym w OPZ. Dodatkowo Zamawiający podkreśla, iż równoważne metody, materiały, urządzenia, systemy, technologie itp. nie mogą stanowić zamienników w stosunku do metod, materiałów, </w:t>
      </w:r>
      <w:r>
        <w:rPr>
          <w:rFonts w:ascii="Calibri" w:hAnsi="Calibri" w:cs="Calibri"/>
        </w:rPr>
        <w:t>urządzeń, systemów, technologii itp. opisanych w treści programu funkcjonalno-użytkowego i załącznikach do niego  za pomocą znaków towarowych, patentów, pochodzenia, źródła lub szczególnego procesu.</w:t>
      </w:r>
    </w:p>
    <w:p w:rsidR="00D970A1" w:rsidRDefault="00D970A1">
      <w:pPr>
        <w:pStyle w:val="Standard"/>
        <w:suppressAutoHyphens w:val="0"/>
        <w:spacing w:line="276" w:lineRule="auto"/>
        <w:jc w:val="both"/>
      </w:pPr>
    </w:p>
    <w:p w:rsidR="00D970A1" w:rsidRDefault="00D970A1">
      <w:pPr>
        <w:pStyle w:val="Standard"/>
        <w:suppressAutoHyphens w:val="0"/>
        <w:spacing w:line="276" w:lineRule="auto"/>
        <w:jc w:val="both"/>
      </w:pPr>
    </w:p>
    <w:p w:rsidR="00D970A1" w:rsidRDefault="00B43F40">
      <w:pPr>
        <w:pStyle w:val="Standard"/>
        <w:suppressAutoHyphens w:val="0"/>
        <w:spacing w:line="276" w:lineRule="auto"/>
        <w:jc w:val="both"/>
      </w:pPr>
      <w:r>
        <w:rPr>
          <w:rFonts w:ascii="Calibri" w:eastAsia="Calibri" w:hAnsi="Calibri" w:cs="Calibri"/>
          <w:b/>
          <w:lang w:eastAsia="en-US"/>
        </w:rPr>
        <w:t xml:space="preserve">Miejsce realizacji zamówienia:   </w:t>
      </w:r>
      <w:r>
        <w:rPr>
          <w:rFonts w:ascii="Calibri" w:eastAsia="Calibri" w:hAnsi="Calibri" w:cs="Calibri"/>
          <w:lang w:eastAsia="en-US"/>
        </w:rPr>
        <w:t>siedziba zamawiającego</w:t>
      </w:r>
      <w:r>
        <w:rPr>
          <w:rFonts w:ascii="Calibri, Calibri" w:eastAsia="Calibri, Calibri" w:hAnsi="Calibri, Calibri" w:cs="Calibri, Calibri"/>
          <w:b/>
          <w:bCs/>
          <w:color w:val="000000"/>
          <w:sz w:val="23"/>
          <w:szCs w:val="23"/>
          <w:lang w:eastAsia="en-US"/>
        </w:rPr>
        <w:t>:</w:t>
      </w:r>
    </w:p>
    <w:p w:rsidR="00D970A1" w:rsidRDefault="00D970A1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970A1" w:rsidRDefault="00B43F40">
      <w:pPr>
        <w:pStyle w:val="Standard"/>
        <w:numPr>
          <w:ilvl w:val="0"/>
          <w:numId w:val="22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, Calibri" w:hAnsi="Calibri" w:cs="Calibri, Calibri"/>
          <w:b/>
          <w:bCs/>
          <w:color w:val="000000"/>
          <w:lang w:eastAsia="en-US"/>
        </w:rPr>
        <w:t>Składający ofertę winien posiadać doświadczenie w realizacji dostaw zbieżnych z prze</w:t>
      </w:r>
      <w:r>
        <w:rPr>
          <w:rFonts w:ascii="Calibri" w:eastAsia="Calibri, Calibri" w:hAnsi="Calibri" w:cs="Calibri, Calibri"/>
          <w:b/>
          <w:bCs/>
          <w:color w:val="000000"/>
          <w:lang w:eastAsia="en-US"/>
        </w:rPr>
        <w:t>d</w:t>
      </w:r>
      <w:r>
        <w:rPr>
          <w:rFonts w:ascii="Calibri" w:eastAsia="Calibri, Calibri" w:hAnsi="Calibri" w:cs="Calibri, Calibri"/>
          <w:b/>
          <w:bCs/>
          <w:color w:val="000000"/>
          <w:lang w:eastAsia="en-US"/>
        </w:rPr>
        <w:t xml:space="preserve">miotem zamówienia </w:t>
      </w:r>
      <w:r>
        <w:rPr>
          <w:rFonts w:ascii="Calibri" w:eastAsia="Calibri, Calibri" w:hAnsi="Calibri" w:cs="Calibri, Calibri"/>
          <w:color w:val="000000"/>
          <w:lang w:eastAsia="en-US"/>
        </w:rPr>
        <w:t xml:space="preserve">(tj. dostaw sprzętu TIK ) i udokumentować realizację minimum dwóch dostaw o min. wartości 50 000 zł, dołączając do oferty odpowiednie rekomendacje. </w:t>
      </w:r>
      <w:r>
        <w:rPr>
          <w:rFonts w:ascii="Calibri" w:eastAsia="Calibri, Calibri" w:hAnsi="Calibri" w:cs="Calibri, Calibri"/>
          <w:color w:val="000000"/>
          <w:lang w:eastAsia="en-US"/>
        </w:rPr>
        <w:t>Wystarczające będzie przedstawienie kontaktów (numer telefonu do osób odpowiedzialnych/szefów) dwóch instyt</w:t>
      </w:r>
      <w:r>
        <w:rPr>
          <w:rFonts w:ascii="Calibri" w:eastAsia="Calibri, Calibri" w:hAnsi="Calibri" w:cs="Calibri, Calibri"/>
          <w:color w:val="000000"/>
          <w:lang w:eastAsia="en-US"/>
        </w:rPr>
        <w:t>u</w:t>
      </w:r>
      <w:r>
        <w:rPr>
          <w:rFonts w:ascii="Calibri" w:eastAsia="Calibri, Calibri" w:hAnsi="Calibri" w:cs="Calibri, Calibri"/>
          <w:color w:val="000000"/>
          <w:lang w:eastAsia="en-US"/>
        </w:rPr>
        <w:t>cji/szkół mogących potwierdzić rekomendacje.</w:t>
      </w:r>
    </w:p>
    <w:p w:rsidR="00D970A1" w:rsidRDefault="00B43F40">
      <w:pPr>
        <w:pStyle w:val="Standard"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Wykonawca zobowiązany jest do dostawy, montażu i uruchomienia instruktażowego sprzętu będ</w:t>
      </w:r>
      <w:r>
        <w:rPr>
          <w:rFonts w:ascii="Tahoma" w:eastAsia="Calibri" w:hAnsi="Tahoma" w:cs="Tahoma"/>
          <w:sz w:val="22"/>
          <w:szCs w:val="22"/>
          <w:lang w:eastAsia="en-US"/>
        </w:rPr>
        <w:t>ącego przedmi</w:t>
      </w:r>
      <w:r>
        <w:rPr>
          <w:rFonts w:ascii="Tahoma" w:eastAsia="Calibri" w:hAnsi="Tahoma" w:cs="Tahoma"/>
          <w:sz w:val="22"/>
          <w:szCs w:val="22"/>
          <w:lang w:eastAsia="en-US"/>
        </w:rPr>
        <w:t>otem niniejszego zapytania.</w:t>
      </w:r>
    </w:p>
    <w:p w:rsidR="00D970A1" w:rsidRDefault="00B43F40">
      <w:pPr>
        <w:pStyle w:val="Standard"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Wraz ze sprzętem, urządzeniami dostawca dostarcza pełną dokumentację (w języku po</w:t>
      </w:r>
      <w:r>
        <w:rPr>
          <w:rFonts w:ascii="Calibri" w:eastAsia="Calibri" w:hAnsi="Calibri" w:cs="Calibri"/>
          <w:lang w:eastAsia="en-US"/>
        </w:rPr>
        <w:t>l</w:t>
      </w:r>
      <w:r>
        <w:rPr>
          <w:rFonts w:ascii="Calibri" w:eastAsia="Calibri" w:hAnsi="Calibri" w:cs="Calibri"/>
          <w:lang w:eastAsia="en-US"/>
        </w:rPr>
        <w:t>skim) dotyczącą obsługi, działania i utrzymania sprzętu oraz kartę gwarancji i certyfikaty bezpi</w:t>
      </w:r>
      <w:r>
        <w:rPr>
          <w:rFonts w:ascii="Calibri" w:eastAsia="Calibri" w:hAnsi="Calibri" w:cs="Calibri"/>
          <w:lang w:eastAsia="en-US"/>
        </w:rPr>
        <w:t>e</w:t>
      </w:r>
      <w:r>
        <w:rPr>
          <w:rFonts w:ascii="Calibri" w:eastAsia="Calibri" w:hAnsi="Calibri" w:cs="Calibri"/>
          <w:lang w:eastAsia="en-US"/>
        </w:rPr>
        <w:t>czeństwa CE (dla asortymentu, dla którego takie c</w:t>
      </w:r>
      <w:r>
        <w:rPr>
          <w:rFonts w:ascii="Calibri" w:eastAsia="Calibri" w:hAnsi="Calibri" w:cs="Calibri"/>
          <w:lang w:eastAsia="en-US"/>
        </w:rPr>
        <w:t>ertyfikaty są wydawane).</w:t>
      </w:r>
    </w:p>
    <w:p w:rsidR="00D970A1" w:rsidRDefault="00B43F40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3.     Dostarczony sprzęt i urządzenia powinny być fabrycznie nowe, opisane w języku polskim </w:t>
      </w:r>
      <w:r>
        <w:rPr>
          <w:rFonts w:ascii="Calibri" w:eastAsia="Calibri" w:hAnsi="Calibri" w:cs="Calibri"/>
          <w:lang w:eastAsia="en-US"/>
        </w:rPr>
        <w:tab/>
        <w:t>(tam gdzie dotyczy), nieużywane oraz oryginalnie zapakowane. W cenę wliczony koszt do</w:t>
      </w:r>
      <w:r>
        <w:rPr>
          <w:rFonts w:ascii="Calibri" w:eastAsia="Calibri" w:hAnsi="Calibri" w:cs="Calibri"/>
          <w:lang w:eastAsia="en-US"/>
        </w:rPr>
        <w:tab/>
        <w:t>stawy, transportu, montażu oraz wszelkie inne ko</w:t>
      </w:r>
      <w:r>
        <w:rPr>
          <w:rFonts w:ascii="Calibri" w:eastAsia="Calibri" w:hAnsi="Calibri" w:cs="Calibri"/>
          <w:lang w:eastAsia="en-US"/>
        </w:rPr>
        <w:t xml:space="preserve">szty związane z realizację zamówienia </w:t>
      </w:r>
      <w:r>
        <w:rPr>
          <w:rFonts w:ascii="Calibri" w:eastAsia="Calibri" w:hAnsi="Calibri" w:cs="Calibri"/>
          <w:lang w:eastAsia="en-US"/>
        </w:rPr>
        <w:tab/>
        <w:t>zgodnie z opisanymi wymaganiami oraz przepisami powszechnie obowiązującego prawa.</w:t>
      </w:r>
    </w:p>
    <w:p w:rsidR="00D970A1" w:rsidRDefault="00D970A1">
      <w:pPr>
        <w:pStyle w:val="Standard"/>
        <w:suppressAutoHyphens w:val="0"/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D970A1" w:rsidRDefault="00B43F40">
      <w:pPr>
        <w:pStyle w:val="ZALACZNIKCENTER"/>
        <w:ind w:left="567" w:right="0" w:hanging="425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PRZYGOTOWANIE I SKŁADANIE OFERT</w:t>
      </w:r>
    </w:p>
    <w:p w:rsidR="00D970A1" w:rsidRDefault="00B43F40">
      <w:pPr>
        <w:pStyle w:val="Standard"/>
        <w:numPr>
          <w:ilvl w:val="0"/>
          <w:numId w:val="23"/>
        </w:numPr>
        <w:autoSpaceDE w:val="0"/>
        <w:spacing w:after="109"/>
      </w:pPr>
      <w:r>
        <w:rPr>
          <w:rFonts w:ascii="Calibri" w:eastAsia="Calibri, Calibri" w:hAnsi="Calibri" w:cs="Calibri"/>
          <w:color w:val="000000"/>
        </w:rPr>
        <w:t xml:space="preserve">Oferta powinna odpowiadać treści Zapytania. </w:t>
      </w:r>
      <w:r>
        <w:rPr>
          <w:rFonts w:ascii="Calibri, Calibri" w:eastAsia="Calibri, Calibri" w:hAnsi="Calibri, Calibri" w:cs="Calibri, Calibri"/>
          <w:color w:val="000000"/>
        </w:rPr>
        <w:t>Ofertę sporządzić należy na załączonym druku „Formularz</w:t>
      </w:r>
      <w:r>
        <w:rPr>
          <w:rFonts w:ascii="Calibri, Calibri" w:eastAsia="Calibri, Calibri" w:hAnsi="Calibri, Calibri" w:cs="Calibri, Calibri"/>
          <w:color w:val="000000"/>
        </w:rPr>
        <w:t xml:space="preserve"> ofertowy” (załącznik nr 1 do zapytania ofertowego).</w:t>
      </w:r>
    </w:p>
    <w:p w:rsidR="00D970A1" w:rsidRDefault="00B43F40">
      <w:pPr>
        <w:pStyle w:val="Standard"/>
        <w:numPr>
          <w:ilvl w:val="0"/>
          <w:numId w:val="23"/>
        </w:numPr>
        <w:autoSpaceDE w:val="0"/>
        <w:spacing w:after="109"/>
        <w:rPr>
          <w:rFonts w:ascii="Calibri, Calibri" w:eastAsia="Calibri, Calibri" w:hAnsi="Calibri, Calibri" w:cs="Calibri, Calibri"/>
          <w:color w:val="000000"/>
        </w:rPr>
      </w:pPr>
      <w:r>
        <w:rPr>
          <w:rFonts w:ascii="Calibri, Calibri" w:eastAsia="Calibri, Calibri" w:hAnsi="Calibri, Calibri" w:cs="Calibri, Calibri"/>
          <w:color w:val="000000"/>
        </w:rPr>
        <w:t>Ofertę sporządzić należy w języku polskim, w formie pisemnej.</w:t>
      </w:r>
    </w:p>
    <w:p w:rsidR="00D970A1" w:rsidRDefault="00B43F40">
      <w:pPr>
        <w:pStyle w:val="Standard"/>
        <w:numPr>
          <w:ilvl w:val="0"/>
          <w:numId w:val="23"/>
        </w:numPr>
        <w:autoSpaceDE w:val="0"/>
        <w:spacing w:after="109"/>
      </w:pPr>
      <w:r>
        <w:rPr>
          <w:rFonts w:ascii="Calibri" w:eastAsia="Calibri, Calibri" w:hAnsi="Calibri" w:cs="Calibri, Calibri"/>
          <w:color w:val="000000"/>
        </w:rPr>
        <w:t xml:space="preserve">Integralną część oferty stanowią także oświadczenia – załącznik nr 2, 3 i 4 a także </w:t>
      </w:r>
      <w:r>
        <w:rPr>
          <w:rFonts w:ascii="Calibri" w:eastAsia="Calibri, Calibri" w:hAnsi="Calibri" w:cs="Calibri, Calibri"/>
          <w:b/>
          <w:bCs/>
          <w:color w:val="000000"/>
        </w:rPr>
        <w:t xml:space="preserve">załączone referencje lub wskazanie kontaktu do osób, </w:t>
      </w:r>
      <w:r>
        <w:rPr>
          <w:rFonts w:ascii="Calibri" w:eastAsia="Calibri, Calibri" w:hAnsi="Calibri" w:cs="Calibri, Calibri"/>
          <w:b/>
          <w:bCs/>
          <w:color w:val="000000"/>
        </w:rPr>
        <w:t xml:space="preserve">potwierdzające doświadczenie Wykonawcy </w:t>
      </w:r>
      <w:r>
        <w:rPr>
          <w:rFonts w:ascii="Calibri" w:eastAsia="Calibri, Calibri" w:hAnsi="Calibri" w:cs="Calibri, Calibri"/>
          <w:color w:val="000000"/>
        </w:rPr>
        <w:t>wymienione w pkt.1 Brak któregokolwiek z wymaganych powyżej dokumentów będzie skutkował odrzuceniem oferty.</w:t>
      </w:r>
    </w:p>
    <w:p w:rsidR="00D970A1" w:rsidRDefault="00B43F40">
      <w:pPr>
        <w:pStyle w:val="Default"/>
        <w:numPr>
          <w:ilvl w:val="0"/>
          <w:numId w:val="23"/>
        </w:numPr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>Oferta winna być podpisana przez osobę upoważnioną.</w:t>
      </w:r>
    </w:p>
    <w:p w:rsidR="00D970A1" w:rsidRDefault="00B43F40">
      <w:pPr>
        <w:pStyle w:val="Default"/>
        <w:numPr>
          <w:ilvl w:val="0"/>
          <w:numId w:val="23"/>
        </w:numPr>
        <w:spacing w:after="109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" w:eastAsia="Calibri, Calibri" w:hAnsi="Calibri" w:cs="Calibri, Calibri"/>
        </w:rPr>
        <w:t xml:space="preserve"> Ofertę można przesłać pocztą na adres Zamawiającego (z</w:t>
      </w:r>
      <w:r>
        <w:rPr>
          <w:rFonts w:ascii="Calibri" w:eastAsia="Calibri, Calibri" w:hAnsi="Calibri" w:cs="Calibri, Calibri"/>
        </w:rPr>
        <w:t xml:space="preserve"> dopiskiem na kopercie „Zapytanie ofertowe nr </w:t>
      </w:r>
      <w:r>
        <w:rPr>
          <w:rFonts w:ascii="Calibri" w:eastAsia="Calibri, Calibri" w:hAnsi="Calibri" w:cs="Calibri"/>
          <w:sz w:val="22"/>
          <w:szCs w:val="22"/>
        </w:rPr>
        <w:t>2/SP170/PP/2022</w:t>
      </w:r>
      <w:r>
        <w:rPr>
          <w:rFonts w:ascii="Calibri" w:eastAsia="Calibri, Calibri" w:hAnsi="Calibri" w:cs="Calibri, Calibri"/>
        </w:rPr>
        <w:t>), drogą elektroniczną za pośrednictwem Bazy Konkurencyjności (https://bazakonkurencyjnosci.funduszeeuropejskie.gov.pl), w wersji papierowej   można złożyć osobiście w siedzibie Szkoły Podstawowe</w:t>
      </w:r>
      <w:r>
        <w:rPr>
          <w:rFonts w:ascii="Calibri" w:eastAsia="Calibri, Calibri" w:hAnsi="Calibri" w:cs="Calibri, Calibri"/>
        </w:rPr>
        <w:t xml:space="preserve">j nr 170 w Łodzi, ul. Miedziana 1/3, 92-038 Łódź, w godzinach pracy Placówki (z informacją na ofercie -”nie ujawniać przed dniem otwarcia ofert”. </w:t>
      </w:r>
      <w:r>
        <w:rPr>
          <w:rFonts w:ascii="Calibri" w:eastAsia="Calibri, Calibri" w:hAnsi="Calibri" w:cs="Calibri"/>
        </w:rPr>
        <w:t>Wykonawca może złożyć tylko jedną ofertę.</w:t>
      </w:r>
    </w:p>
    <w:p w:rsidR="00D970A1" w:rsidRDefault="00B43F40">
      <w:pPr>
        <w:pStyle w:val="Default"/>
        <w:numPr>
          <w:ilvl w:val="0"/>
          <w:numId w:val="23"/>
        </w:numPr>
        <w:spacing w:after="109"/>
        <w:rPr>
          <w:rFonts w:ascii="Calibri" w:hAnsi="Calibri" w:cs="Calibri"/>
          <w:b/>
          <w:bCs/>
        </w:rPr>
      </w:pPr>
      <w:r>
        <w:rPr>
          <w:rFonts w:ascii="Calibri" w:eastAsia="Calibri, Calibri" w:hAnsi="Calibri" w:cs="Calibri"/>
          <w:b/>
          <w:bCs/>
        </w:rPr>
        <w:t>Ofertę należy złożyć do</w:t>
      </w:r>
      <w:r>
        <w:rPr>
          <w:rFonts w:ascii="Calibri" w:eastAsia="Calibri, Calibri" w:hAnsi="Calibri" w:cs="Calibri"/>
          <w:b/>
          <w:bCs/>
          <w:shd w:val="clear" w:color="auto" w:fill="FFFFFF"/>
        </w:rPr>
        <w:t xml:space="preserve"> dnia 11.10.2022 r. do god</w:t>
      </w:r>
      <w:r>
        <w:rPr>
          <w:rFonts w:ascii="Calibri" w:eastAsia="Calibri, Calibri" w:hAnsi="Calibri" w:cs="Calibri"/>
          <w:b/>
          <w:bCs/>
        </w:rPr>
        <w:t>z. 10:00</w:t>
      </w:r>
    </w:p>
    <w:p w:rsidR="00D970A1" w:rsidRDefault="00B43F40">
      <w:pPr>
        <w:pStyle w:val="Default"/>
        <w:numPr>
          <w:ilvl w:val="0"/>
          <w:numId w:val="23"/>
        </w:numPr>
        <w:spacing w:after="109"/>
        <w:rPr>
          <w:rFonts w:ascii="Calibri" w:hAnsi="Calibri" w:cs="Calibri"/>
        </w:rPr>
      </w:pPr>
      <w:r>
        <w:rPr>
          <w:rFonts w:ascii="Calibri" w:hAnsi="Calibri" w:cs="Calibri"/>
        </w:rPr>
        <w:t>Na prawidł</w:t>
      </w:r>
      <w:r>
        <w:rPr>
          <w:rFonts w:ascii="Calibri" w:hAnsi="Calibri" w:cs="Calibri"/>
        </w:rPr>
        <w:t>owo przygotowaną ofertę składają się następujące dokumenty:</w:t>
      </w:r>
    </w:p>
    <w:p w:rsidR="00D970A1" w:rsidRDefault="00B43F40">
      <w:pPr>
        <w:pStyle w:val="Standard"/>
        <w:numPr>
          <w:ilvl w:val="0"/>
          <w:numId w:val="24"/>
        </w:numPr>
        <w:suppressAutoHyphens w:val="0"/>
        <w:ind w:left="1418" w:hanging="425"/>
        <w:jc w:val="both"/>
      </w:pPr>
      <w:r>
        <w:rPr>
          <w:rFonts w:ascii="Calibri" w:hAnsi="Calibri" w:cs="Calibri"/>
          <w:lang w:eastAsia="pl-PL"/>
        </w:rPr>
        <w:t xml:space="preserve">formularz oferty - </w:t>
      </w:r>
      <w:r>
        <w:rPr>
          <w:rFonts w:ascii="Calibri" w:hAnsi="Calibri" w:cs="Calibri"/>
          <w:b/>
          <w:bCs/>
          <w:lang w:eastAsia="pl-PL"/>
        </w:rPr>
        <w:t>załącznik nr 1</w:t>
      </w:r>
      <w:r>
        <w:rPr>
          <w:rFonts w:ascii="Calibri" w:hAnsi="Calibri" w:cs="Calibri"/>
          <w:lang w:eastAsia="pl-PL"/>
        </w:rPr>
        <w:t xml:space="preserve"> do niniejszego zapytania ofertowego</w:t>
      </w:r>
    </w:p>
    <w:p w:rsidR="00D970A1" w:rsidRDefault="00B43F40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r>
        <w:rPr>
          <w:rFonts w:ascii="Calibri" w:hAnsi="Calibri" w:cs="Calibri"/>
          <w:lang w:eastAsia="pl-PL"/>
        </w:rPr>
        <w:t xml:space="preserve">Formularz asortymentowo-cenowy – </w:t>
      </w:r>
      <w:r>
        <w:rPr>
          <w:rFonts w:ascii="Calibri" w:hAnsi="Calibri" w:cs="Calibri"/>
          <w:b/>
          <w:bCs/>
          <w:lang w:eastAsia="pl-PL"/>
        </w:rPr>
        <w:t>załącznik nr 2</w:t>
      </w:r>
      <w:r>
        <w:rPr>
          <w:rFonts w:ascii="Calibri" w:hAnsi="Calibri" w:cs="Calibri"/>
          <w:lang w:eastAsia="pl-PL"/>
        </w:rPr>
        <w:t xml:space="preserve"> do niniejszego zapytania ofert</w:t>
      </w:r>
      <w:r>
        <w:rPr>
          <w:rFonts w:ascii="Calibri" w:hAnsi="Calibri" w:cs="Calibri"/>
          <w:lang w:eastAsia="pl-PL"/>
        </w:rPr>
        <w:t>o</w:t>
      </w:r>
      <w:r>
        <w:rPr>
          <w:rFonts w:ascii="Calibri" w:hAnsi="Calibri" w:cs="Calibri"/>
          <w:lang w:eastAsia="pl-PL"/>
        </w:rPr>
        <w:t>wego</w:t>
      </w:r>
    </w:p>
    <w:p w:rsidR="00D970A1" w:rsidRDefault="00B43F40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bookmarkStart w:id="2" w:name="_Hlk108288605"/>
      <w:r>
        <w:rPr>
          <w:rFonts w:ascii="Calibri" w:hAnsi="Calibri" w:cs="Calibri"/>
          <w:lang w:eastAsia="pl-PL"/>
        </w:rPr>
        <w:t xml:space="preserve">Oświadczenie dotyczące powiązań osobowych lub kapitałowych </w:t>
      </w:r>
      <w:bookmarkEnd w:id="2"/>
      <w:r>
        <w:rPr>
          <w:rFonts w:ascii="Calibri" w:hAnsi="Calibri" w:cs="Calibri"/>
          <w:lang w:eastAsia="pl-PL"/>
        </w:rPr>
        <w:t xml:space="preserve">– </w:t>
      </w:r>
      <w:r>
        <w:rPr>
          <w:rFonts w:ascii="Calibri" w:hAnsi="Calibri" w:cs="Calibri"/>
          <w:b/>
          <w:bCs/>
          <w:lang w:eastAsia="pl-PL"/>
        </w:rPr>
        <w:t>Załącznik nr 3</w:t>
      </w:r>
      <w:r>
        <w:rPr>
          <w:rFonts w:ascii="Calibri" w:hAnsi="Calibri" w:cs="Calibri"/>
          <w:lang w:eastAsia="pl-PL"/>
        </w:rPr>
        <w:t xml:space="preserve"> do niniejszego zapytania ofertowego</w:t>
      </w:r>
    </w:p>
    <w:p w:rsidR="00D970A1" w:rsidRDefault="00B43F40">
      <w:pPr>
        <w:pStyle w:val="Standard"/>
        <w:numPr>
          <w:ilvl w:val="0"/>
          <w:numId w:val="9"/>
        </w:numPr>
        <w:suppressAutoHyphens w:val="0"/>
        <w:ind w:left="1418" w:hanging="425"/>
        <w:jc w:val="both"/>
      </w:pPr>
      <w:bookmarkStart w:id="3" w:name="_Hlk108288617"/>
      <w:r>
        <w:rPr>
          <w:rFonts w:ascii="Calibri" w:hAnsi="Calibri" w:cs="Calibri"/>
          <w:lang w:eastAsia="pl-PL"/>
        </w:rPr>
        <w:t xml:space="preserve">Oświadczenie dotyczące podstaw wykluczenia </w:t>
      </w:r>
      <w:bookmarkEnd w:id="3"/>
      <w:r>
        <w:rPr>
          <w:rFonts w:ascii="Calibri" w:hAnsi="Calibri" w:cs="Calibri"/>
          <w:lang w:eastAsia="pl-PL"/>
        </w:rPr>
        <w:t xml:space="preserve">– </w:t>
      </w:r>
      <w:r>
        <w:rPr>
          <w:rFonts w:ascii="Calibri" w:hAnsi="Calibri" w:cs="Calibri"/>
          <w:b/>
          <w:bCs/>
          <w:lang w:eastAsia="pl-PL"/>
        </w:rPr>
        <w:t>Załącznik nr 4</w:t>
      </w:r>
      <w:r>
        <w:rPr>
          <w:rFonts w:ascii="Calibri" w:hAnsi="Calibri" w:cs="Calibri"/>
          <w:lang w:eastAsia="pl-PL"/>
        </w:rPr>
        <w:t xml:space="preserve"> do niniejszego zap</w:t>
      </w:r>
      <w:r>
        <w:rPr>
          <w:rFonts w:ascii="Calibri" w:hAnsi="Calibri" w:cs="Calibri"/>
          <w:lang w:eastAsia="pl-PL"/>
        </w:rPr>
        <w:t>y</w:t>
      </w:r>
      <w:r>
        <w:rPr>
          <w:rFonts w:ascii="Calibri" w:hAnsi="Calibri" w:cs="Calibri"/>
          <w:lang w:eastAsia="pl-PL"/>
        </w:rPr>
        <w:t>tania ofertowego.</w:t>
      </w:r>
    </w:p>
    <w:p w:rsidR="00D970A1" w:rsidRDefault="00D970A1">
      <w:pPr>
        <w:pStyle w:val="Standard"/>
        <w:suppressAutoHyphens w:val="0"/>
        <w:ind w:left="1418" w:hanging="425"/>
        <w:jc w:val="both"/>
      </w:pPr>
    </w:p>
    <w:p w:rsidR="00D970A1" w:rsidRDefault="00B43F40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8.  Wykon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awca może przed upływem terminu składania ofert zmienić lub wycofać swoją    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ofertę.</w:t>
      </w:r>
    </w:p>
    <w:p w:rsidR="00D970A1" w:rsidRDefault="00B43F40">
      <w:pPr>
        <w:pStyle w:val="ZALACZNIKCENTER"/>
        <w:ind w:left="567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9. Złożenie oferty oznacza zaakceptowanie przez Wykonawcę wymagań zawartych w niniejszym Zapytaniu bez zastrzeżeń.</w:t>
      </w:r>
    </w:p>
    <w:p w:rsidR="00D970A1" w:rsidRDefault="00B43F40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10. Wszystkie koszty związane z udziałem w postępow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aniu, w tym z przygotowaniem i 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dostarczeniem oferty ponosi Wykonawca.</w:t>
      </w:r>
    </w:p>
    <w:p w:rsidR="00D970A1" w:rsidRDefault="00D970A1">
      <w:pPr>
        <w:pStyle w:val="ZALACZNIKCENTER"/>
        <w:ind w:left="0" w:right="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D970A1" w:rsidRDefault="00B43F40">
      <w:pPr>
        <w:pStyle w:val="ZALACZNIK-Wyliczenie2-x"/>
        <w:tabs>
          <w:tab w:val="clear" w:pos="1078"/>
          <w:tab w:val="clear" w:pos="9611"/>
          <w:tab w:val="left" w:pos="245"/>
        </w:tabs>
        <w:ind w:left="0"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4"/>
          <w:szCs w:val="24"/>
        </w:rPr>
        <w:t>4.   TERMIN REALIZACJI UMOWY:</w:t>
      </w:r>
    </w:p>
    <w:p w:rsidR="00D970A1" w:rsidRDefault="00B43F40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  <w:r>
        <w:rPr>
          <w:rFonts w:ascii="Calibri" w:hAnsi="Calibri" w:cs="Calibri"/>
          <w:sz w:val="24"/>
          <w:szCs w:val="24"/>
        </w:rPr>
        <w:tab/>
        <w:t xml:space="preserve"> Od dnia podpisania umowy termin dostawy – </w:t>
      </w:r>
      <w:r>
        <w:rPr>
          <w:rFonts w:ascii="Calibri" w:hAnsi="Calibri" w:cs="Calibri"/>
          <w:b/>
          <w:bCs/>
          <w:sz w:val="24"/>
          <w:szCs w:val="24"/>
        </w:rPr>
        <w:t xml:space="preserve">do 12 dni </w:t>
      </w:r>
      <w:r>
        <w:rPr>
          <w:rFonts w:ascii="Calibri" w:hAnsi="Calibri" w:cs="Calibri"/>
          <w:sz w:val="24"/>
          <w:szCs w:val="24"/>
        </w:rPr>
        <w:t xml:space="preserve"> nie dłużej niż do 31.10.2022r</w:t>
      </w:r>
    </w:p>
    <w:p w:rsidR="00D970A1" w:rsidRDefault="00D970A1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</w:p>
    <w:p w:rsidR="00D970A1" w:rsidRDefault="00B43F40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  <w:r>
        <w:rPr>
          <w:rFonts w:ascii="Calibri" w:hAnsi="Calibri" w:cs="Calibri"/>
          <w:b/>
          <w:bCs/>
          <w:sz w:val="24"/>
          <w:szCs w:val="24"/>
        </w:rPr>
        <w:t xml:space="preserve">     5</w:t>
      </w:r>
      <w:r>
        <w:rPr>
          <w:rFonts w:ascii="Calibri" w:hAnsi="Calibri" w:cs="Calibri"/>
          <w:b/>
          <w:bCs/>
          <w:sz w:val="24"/>
          <w:szCs w:val="24"/>
        </w:rPr>
        <w:tab/>
        <w:t>KRYTERIA OCENY OFERTY</w:t>
      </w:r>
    </w:p>
    <w:p w:rsidR="00D970A1" w:rsidRDefault="00B43F40">
      <w:pPr>
        <w:pStyle w:val="ZALACZNIK-Wyliczenie2-x"/>
        <w:tabs>
          <w:tab w:val="clear" w:pos="1078"/>
          <w:tab w:val="clear" w:pos="9611"/>
          <w:tab w:val="left" w:pos="550"/>
        </w:tabs>
        <w:ind w:left="0" w:right="0" w:firstLine="0"/>
      </w:pPr>
      <w:r>
        <w:rPr>
          <w:rStyle w:val="markedcontent"/>
          <w:rFonts w:ascii="Calibri" w:eastAsia="Calibri, Calibri" w:hAnsi="Calibri" w:cs="Calibri, Calibri"/>
          <w:color w:val="000000"/>
          <w:sz w:val="24"/>
          <w:szCs w:val="24"/>
        </w:rPr>
        <w:tab/>
        <w:t>Jako kryterium wyboru oferty przyjm</w:t>
      </w:r>
      <w:r>
        <w:rPr>
          <w:rStyle w:val="markedcontent"/>
          <w:rFonts w:ascii="Calibri" w:eastAsia="Calibri, Calibri" w:hAnsi="Calibri" w:cs="Calibri, Calibri"/>
          <w:color w:val="000000"/>
          <w:sz w:val="24"/>
          <w:szCs w:val="24"/>
        </w:rPr>
        <w:t>uje się najkorzystniejszy bilans punktów w oparciu o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Kryterium a: Cena oferty: 80%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Kryterium b: Termin realizacji zamówienia od dnia podpisania umowy: 20%</w:t>
      </w:r>
    </w:p>
    <w:p w:rsidR="00D970A1" w:rsidRDefault="00D970A1">
      <w:pPr>
        <w:pStyle w:val="Default"/>
        <w:rPr>
          <w:rFonts w:ascii="Calibri" w:eastAsia="Calibri, Calibri" w:hAnsi="Calibri" w:cs="Calibri, Calibri"/>
        </w:rPr>
      </w:pPr>
    </w:p>
    <w:p w:rsidR="00D970A1" w:rsidRDefault="00B43F40">
      <w:pPr>
        <w:pStyle w:val="Default"/>
        <w:rPr>
          <w:rFonts w:ascii="Calibri" w:eastAsia="Calibri, Calibri" w:hAnsi="Calibri" w:cs="Calibri, Calibri"/>
          <w:b/>
          <w:bCs/>
        </w:rPr>
      </w:pPr>
      <w:r>
        <w:rPr>
          <w:rFonts w:ascii="Calibri" w:eastAsia="Calibri, Calibri" w:hAnsi="Calibri" w:cs="Calibri, Calibri"/>
          <w:b/>
          <w:bCs/>
        </w:rPr>
        <w:tab/>
        <w:t>Opis sposobu przyznawania punktacji za spełnienie danego kryterium oceny oferty: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1. </w:t>
      </w:r>
      <w:r>
        <w:rPr>
          <w:rFonts w:ascii="Calibri" w:eastAsia="Calibri, Calibri" w:hAnsi="Calibri" w:cs="Calibri, Calibri"/>
        </w:rPr>
        <w:t>Zamawiający dokona oceny i porównania ofert w oparciu o następujące kryteria: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b/>
          <w:bCs/>
        </w:rPr>
        <w:t>Cena brutto</w:t>
      </w:r>
      <w:r>
        <w:rPr>
          <w:rFonts w:ascii="Calibri" w:eastAsia="Calibri, Calibri" w:hAnsi="Calibri" w:cs="Calibri, Calibri"/>
        </w:rPr>
        <w:t xml:space="preserve"> oferty (80%) , max. 80 pkt X = (A : B) x 80 pkt, gdzie: A – najniższa cena</w:t>
      </w:r>
    </w:p>
    <w:p w:rsidR="00D970A1" w:rsidRDefault="00B43F40">
      <w:pPr>
        <w:pStyle w:val="Default"/>
        <w:spacing w:after="111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wśród złożonych ofert, B – cena oferty ocenianej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b/>
          <w:bCs/>
        </w:rPr>
        <w:t xml:space="preserve">Termin dostawy od dnia podpisania </w:t>
      </w:r>
      <w:r>
        <w:rPr>
          <w:rFonts w:ascii="Calibri" w:eastAsia="Calibri, Calibri" w:hAnsi="Calibri" w:cs="Calibri, Calibri"/>
          <w:b/>
          <w:bCs/>
        </w:rPr>
        <w:t>umowy</w:t>
      </w:r>
      <w:r>
        <w:rPr>
          <w:rFonts w:ascii="Calibri" w:eastAsia="Calibri, Calibri" w:hAnsi="Calibri" w:cs="Calibri, Calibri"/>
        </w:rPr>
        <w:t>: 20%, max. 20 pkt</w:t>
      </w:r>
    </w:p>
    <w:p w:rsidR="00D970A1" w:rsidRDefault="00B43F40">
      <w:pPr>
        <w:pStyle w:val="Default"/>
        <w:spacing w:after="123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Do 5 dni od daty podpisania umowy – 20 pkt.</w:t>
      </w:r>
    </w:p>
    <w:p w:rsidR="00D970A1" w:rsidRDefault="00B43F40">
      <w:pPr>
        <w:pStyle w:val="Default"/>
        <w:spacing w:after="123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Od 6 dni do 7 dni od daty podpisania umowy – 10 pkt.</w:t>
      </w:r>
    </w:p>
    <w:p w:rsidR="00D970A1" w:rsidRDefault="00B43F40">
      <w:pPr>
        <w:pStyle w:val="Default"/>
        <w:spacing w:after="123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Od 8 do 9 dni od daty podpisania umowy – 5 pkt.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</w:rPr>
        <w:t> Powyżej 10 dni od daty podpisania umowy – 0 pkt.</w:t>
      </w:r>
    </w:p>
    <w:p w:rsidR="00D970A1" w:rsidRDefault="00D970A1">
      <w:pPr>
        <w:pStyle w:val="Default"/>
        <w:rPr>
          <w:rFonts w:ascii="Calibri" w:eastAsia="Calibri, Calibri" w:hAnsi="Calibri" w:cs="Calibri, Calibri"/>
        </w:rPr>
      </w:pPr>
    </w:p>
    <w:p w:rsidR="00D970A1" w:rsidRDefault="00B43F40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2. Oferta może uzys</w:t>
      </w:r>
      <w:r>
        <w:rPr>
          <w:rFonts w:ascii="Calibri" w:eastAsia="Calibri, Calibri" w:hAnsi="Calibri" w:cs="Calibri, Calibri"/>
        </w:rPr>
        <w:t>kać max. 100 pkt.</w:t>
      </w:r>
    </w:p>
    <w:p w:rsidR="00D970A1" w:rsidRDefault="00B43F40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3. Ocena spełnienia kryterium będzie dokonywana na podstawie złożonych dokumentów.</w:t>
      </w:r>
    </w:p>
    <w:p w:rsidR="00D970A1" w:rsidRDefault="00B43F40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 xml:space="preserve">4. Zamawiający wybierze najkorzystniejszą ofertę, która uzyska najwyższą liczbę punktów w </w:t>
      </w:r>
      <w:r>
        <w:rPr>
          <w:rFonts w:ascii="Calibri" w:eastAsia="Calibri, Calibri" w:hAnsi="Calibri" w:cs="Calibri, Calibri"/>
        </w:rPr>
        <w:tab/>
        <w:t>oparciu o ustalone wyżej kryteria.</w:t>
      </w:r>
    </w:p>
    <w:p w:rsidR="00D970A1" w:rsidRDefault="00B43F40">
      <w:pPr>
        <w:pStyle w:val="Default"/>
        <w:spacing w:after="109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  <w:t>5. W przypadku, gdy zło</w:t>
      </w:r>
      <w:r>
        <w:rPr>
          <w:rFonts w:ascii="Calibri" w:eastAsia="Calibri, Calibri" w:hAnsi="Calibri" w:cs="Calibri, Calibri"/>
        </w:rPr>
        <w:t xml:space="preserve">żono dwie lub więcej ofert z taką samą ceną Zamawiający wezwie </w:t>
      </w:r>
      <w:r>
        <w:rPr>
          <w:rFonts w:ascii="Calibri" w:eastAsia="Calibri, Calibri" w:hAnsi="Calibri" w:cs="Calibri, Calibri"/>
        </w:rPr>
        <w:tab/>
        <w:t xml:space="preserve">Wykonawców, którzy złożyli te oferty do złożenia ofert dodatkowych w wyznaczonym </w:t>
      </w:r>
      <w:r>
        <w:rPr>
          <w:rFonts w:ascii="Calibri" w:eastAsia="Calibri, Calibri" w:hAnsi="Calibri" w:cs="Calibri, Calibri"/>
        </w:rPr>
        <w:tab/>
        <w:t>terminie, przy czym nowo zaproponowane ceny nie mogą być wyższe od ceny pierwotnej.</w:t>
      </w:r>
    </w:p>
    <w:p w:rsidR="00D970A1" w:rsidRDefault="00B43F40">
      <w:pPr>
        <w:pStyle w:val="Default"/>
        <w:rPr>
          <w:rFonts w:ascii="Calibri" w:eastAsia="Calibri, Calibri" w:hAnsi="Calibri" w:cs="Calibri, Calibri"/>
        </w:rPr>
      </w:pPr>
      <w:r>
        <w:rPr>
          <w:rFonts w:ascii="Calibri" w:eastAsia="Calibri, Calibri" w:hAnsi="Calibri" w:cs="Calibri, Calibri"/>
        </w:rPr>
        <w:tab/>
      </w:r>
      <w:r>
        <w:rPr>
          <w:rFonts w:ascii="Calibri" w:eastAsia="Calibri, Calibri" w:hAnsi="Calibri" w:cs="Calibri, Calibri"/>
          <w:sz w:val="22"/>
          <w:szCs w:val="22"/>
        </w:rPr>
        <w:t>6. Zamawiający zastrzega</w:t>
      </w:r>
      <w:r>
        <w:rPr>
          <w:rFonts w:ascii="Calibri" w:eastAsia="Calibri, Calibri" w:hAnsi="Calibri" w:cs="Calibri, Calibri"/>
          <w:sz w:val="22"/>
          <w:szCs w:val="22"/>
        </w:rPr>
        <w:t xml:space="preserve"> sobie prawo do odrzucenia oferty Wykonawcy, jeżeli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zaproponowana jest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rażąco niska, tj. niższa o 30% od średniej arytmetycznej cen wszystkich </w:t>
      </w:r>
      <w:r>
        <w:rPr>
          <w:rFonts w:ascii="Calibri" w:eastAsia="Calibri, Calibri" w:hAnsi="Calibri" w:cs="Calibri, Calibri"/>
          <w:sz w:val="22"/>
          <w:szCs w:val="22"/>
        </w:rPr>
        <w:tab/>
        <w:t>złożonych ofert.</w:t>
      </w:r>
    </w:p>
    <w:p w:rsidR="00D970A1" w:rsidRDefault="00D970A1">
      <w:pPr>
        <w:pStyle w:val="Default"/>
        <w:rPr>
          <w:rFonts w:ascii="Calibri" w:eastAsia="Calibri, Calibri" w:hAnsi="Calibri" w:cs="Calibri, Calibri"/>
          <w:sz w:val="22"/>
          <w:szCs w:val="22"/>
        </w:rPr>
      </w:pPr>
    </w:p>
    <w:p w:rsidR="00D970A1" w:rsidRDefault="00B43F4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 xml:space="preserve">       6. </w:t>
      </w:r>
      <w:r>
        <w:rPr>
          <w:rFonts w:ascii="Calibri" w:eastAsia="Calibri, Calibri" w:hAnsi="Calibri" w:cs="Calibri, Calibri"/>
          <w:b/>
          <w:bCs/>
          <w:sz w:val="22"/>
          <w:szCs w:val="22"/>
        </w:rPr>
        <w:t>Zasady wyliczania ceny:</w:t>
      </w:r>
    </w:p>
    <w:p w:rsidR="00D970A1" w:rsidRDefault="00D970A1">
      <w:pPr>
        <w:pStyle w:val="Default"/>
        <w:rPr>
          <w:rFonts w:ascii="Calibri" w:eastAsia="Calibri, Calibri" w:hAnsi="Calibri" w:cs="Calibri, Calibri"/>
          <w:b/>
          <w:bCs/>
          <w:sz w:val="22"/>
          <w:szCs w:val="22"/>
        </w:rPr>
      </w:pPr>
    </w:p>
    <w:p w:rsidR="00D970A1" w:rsidRDefault="00B43F40">
      <w:pPr>
        <w:pStyle w:val="Default"/>
        <w:spacing w:after="109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1. Cenę oferty należy wpisać na Formularzu ofertowym. </w:t>
      </w:r>
      <w:r>
        <w:rPr>
          <w:rFonts w:ascii="Calibri" w:eastAsia="Calibri, Calibri" w:hAnsi="Calibri" w:cs="Calibri, Calibri"/>
          <w:sz w:val="22"/>
          <w:szCs w:val="22"/>
        </w:rPr>
        <w:t>Cena musi zawierać dane o podatku VAT.</w:t>
      </w:r>
    </w:p>
    <w:p w:rsidR="00D970A1" w:rsidRDefault="00B43F40">
      <w:pPr>
        <w:pStyle w:val="Default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2. Wykonawca jest zobowiązany do wypełnienia wszystkich pól w Formularzu ofertowym.</w:t>
      </w:r>
    </w:p>
    <w:p w:rsidR="00D970A1" w:rsidRDefault="00B43F40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3. Obliczona przez Wykonawcę cena oferty powinna zawierać wszelkie koszty bezpośrednie i </w:t>
      </w:r>
      <w:r>
        <w:rPr>
          <w:rFonts w:ascii="Calibri" w:eastAsia="Calibri, Calibri" w:hAnsi="Calibri" w:cs="Calibri, Calibri"/>
          <w:sz w:val="22"/>
          <w:szCs w:val="22"/>
        </w:rPr>
        <w:tab/>
        <w:t>pośrednie, jakie Wykonawca uważa za niez</w:t>
      </w:r>
      <w:r>
        <w:rPr>
          <w:rFonts w:ascii="Calibri" w:eastAsia="Calibri, Calibri" w:hAnsi="Calibri" w:cs="Calibri, Calibri"/>
          <w:sz w:val="22"/>
          <w:szCs w:val="22"/>
        </w:rPr>
        <w:t xml:space="preserve">będne do poniesienia dla prawidłowego wykonania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przedmiotu zamówienia, zysk Wykonawcy oraz wszystkie wymagane przepisami podatki i opłaty, a </w:t>
      </w:r>
      <w:r>
        <w:rPr>
          <w:rFonts w:ascii="Calibri" w:eastAsia="Calibri, Calibri" w:hAnsi="Calibri" w:cs="Calibri, Calibri"/>
          <w:sz w:val="22"/>
          <w:szCs w:val="22"/>
        </w:rPr>
        <w:tab/>
        <w:t>w szczególności podatek VAT.</w:t>
      </w:r>
    </w:p>
    <w:p w:rsidR="00D970A1" w:rsidRDefault="00B43F40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4. Wykonawca powinien uwzględnić w cenie wszystkie posiadane informacje o przedmio</w:t>
      </w:r>
      <w:r>
        <w:rPr>
          <w:rFonts w:ascii="Calibri" w:eastAsia="Calibri, Calibri" w:hAnsi="Calibri" w:cs="Calibri, Calibri"/>
          <w:sz w:val="22"/>
          <w:szCs w:val="22"/>
        </w:rPr>
        <w:t xml:space="preserve">cie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zamówienia, a szczególnie informacje, wymagania i warunki gwarancji podane w niniejszym </w:t>
      </w:r>
      <w:r>
        <w:rPr>
          <w:rFonts w:ascii="Calibri" w:eastAsia="Calibri, Calibri" w:hAnsi="Calibri" w:cs="Calibri, Calibri"/>
          <w:sz w:val="22"/>
          <w:szCs w:val="22"/>
        </w:rPr>
        <w:tab/>
        <w:t>Zapytaniu ofertowym.</w:t>
      </w:r>
    </w:p>
    <w:p w:rsidR="00D970A1" w:rsidRDefault="00B43F40">
      <w:pPr>
        <w:pStyle w:val="Default"/>
        <w:spacing w:after="111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 xml:space="preserve">5. Cena podana w formularzu ofertowym winna być wyrażona w PLN, wyliczona do dwóch </w:t>
      </w:r>
      <w:r>
        <w:rPr>
          <w:rFonts w:ascii="Calibri" w:eastAsia="Calibri, Calibri" w:hAnsi="Calibri" w:cs="Calibri, Calibri"/>
          <w:sz w:val="22"/>
          <w:szCs w:val="22"/>
        </w:rPr>
        <w:tab/>
        <w:t xml:space="preserve">miejsc </w:t>
      </w:r>
      <w:r>
        <w:rPr>
          <w:rFonts w:ascii="Calibri" w:eastAsia="Calibri, Calibri" w:hAnsi="Calibri" w:cs="Calibri, Calibri"/>
          <w:sz w:val="22"/>
          <w:szCs w:val="22"/>
        </w:rPr>
        <w:tab/>
        <w:t>po przecinku.</w:t>
      </w:r>
    </w:p>
    <w:p w:rsidR="00D970A1" w:rsidRDefault="00B43F40">
      <w:pPr>
        <w:pStyle w:val="Default"/>
        <w:rPr>
          <w:rFonts w:ascii="Calibri" w:eastAsia="Calibri, Calibri" w:hAnsi="Calibri" w:cs="Calibri, Calibri"/>
          <w:sz w:val="22"/>
          <w:szCs w:val="22"/>
        </w:rPr>
      </w:pPr>
      <w:r>
        <w:rPr>
          <w:rFonts w:ascii="Calibri" w:eastAsia="Calibri, Calibri" w:hAnsi="Calibri" w:cs="Calibri, Calibri"/>
          <w:sz w:val="22"/>
          <w:szCs w:val="22"/>
        </w:rPr>
        <w:tab/>
        <w:t>6. Stawka podatku VAT określana</w:t>
      </w:r>
      <w:r>
        <w:rPr>
          <w:rFonts w:ascii="Calibri" w:eastAsia="Calibri, Calibri" w:hAnsi="Calibri" w:cs="Calibri, Calibri"/>
          <w:sz w:val="22"/>
          <w:szCs w:val="22"/>
        </w:rPr>
        <w:t xml:space="preserve"> jest zgodnie z ustawą z dnia 11 marca 2004 r. o podatku od </w:t>
      </w:r>
      <w:r>
        <w:rPr>
          <w:rFonts w:ascii="Calibri" w:eastAsia="Calibri, Calibri" w:hAnsi="Calibri" w:cs="Calibri, Calibri"/>
          <w:sz w:val="22"/>
          <w:szCs w:val="22"/>
        </w:rPr>
        <w:tab/>
        <w:t>towarów i usług.</w:t>
      </w:r>
    </w:p>
    <w:p w:rsidR="00D970A1" w:rsidRDefault="00B43F40">
      <w:pPr>
        <w:pStyle w:val="Defaul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</w:p>
    <w:p w:rsidR="00D970A1" w:rsidRDefault="00B43F40">
      <w:pPr>
        <w:pStyle w:val="ZALACZNIK-Wyliczenie2-x"/>
        <w:tabs>
          <w:tab w:val="clear" w:pos="1078"/>
          <w:tab w:val="clear" w:pos="9611"/>
          <w:tab w:val="left" w:pos="245"/>
        </w:tabs>
        <w:ind w:left="0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7. INFORMACJE O WYKLUCZENIU Z UDZIAŁU W OFERCIE:</w:t>
      </w:r>
    </w:p>
    <w:p w:rsidR="00D970A1" w:rsidRDefault="00B43F40">
      <w:pPr>
        <w:pStyle w:val="Standard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W postępowaniu nie mogą brać udziału osoby, które powiązane są z Zamawiającym osobowo lub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kapitałowo. Przez powiązania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kapitałowe lub osobowe rozumie się wzajemne powiązania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pomiędzy Zamawiającym lub osobami upoważnionymi do zaciągania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zobowiązań w imieniu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Zamawiającego lub osobami wykonującymi w imieniu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Zamawiającego czynności związanych z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przygotowaniem i przeprowad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zeniem procedury wyboru wykonawcy a Wykonawcą, polegające w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szczególności na:</w:t>
      </w:r>
    </w:p>
    <w:p w:rsidR="00D970A1" w:rsidRDefault="00D970A1">
      <w:pPr>
        <w:pStyle w:val="Standard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970A1" w:rsidRDefault="00B43F40">
      <w:pPr>
        <w:pStyle w:val="Standard"/>
        <w:numPr>
          <w:ilvl w:val="0"/>
          <w:numId w:val="25"/>
        </w:numPr>
        <w:tabs>
          <w:tab w:val="left" w:pos="1986"/>
        </w:tabs>
        <w:suppressAutoHyphens w:val="0"/>
        <w:spacing w:after="200" w:line="276" w:lineRule="auto"/>
        <w:ind w:left="99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uczestniczeniu w spółce jako wspólnik spółki cywilnej lub spółki osobowej;</w:t>
      </w:r>
    </w:p>
    <w:p w:rsidR="00D970A1" w:rsidRDefault="00B43F40">
      <w:pPr>
        <w:pStyle w:val="Standard"/>
        <w:numPr>
          <w:ilvl w:val="0"/>
          <w:numId w:val="12"/>
        </w:numPr>
        <w:tabs>
          <w:tab w:val="left" w:pos="1986"/>
        </w:tabs>
        <w:suppressAutoHyphens w:val="0"/>
        <w:spacing w:after="200" w:line="276" w:lineRule="auto"/>
        <w:ind w:left="99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posiadania co najmniej 10% udziałów lub akcji;</w:t>
      </w:r>
    </w:p>
    <w:p w:rsidR="00D970A1" w:rsidRDefault="00B43F40">
      <w:pPr>
        <w:pStyle w:val="Standard"/>
        <w:numPr>
          <w:ilvl w:val="0"/>
          <w:numId w:val="12"/>
        </w:numPr>
        <w:tabs>
          <w:tab w:val="left" w:pos="1986"/>
        </w:tabs>
        <w:suppressAutoHyphens w:val="0"/>
        <w:spacing w:after="200" w:line="276" w:lineRule="auto"/>
        <w:ind w:left="993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pełnieniu funkcji członka organu nadzorczego lub zarzą</w:t>
      </w:r>
      <w:r>
        <w:rPr>
          <w:rFonts w:ascii="Calibri" w:eastAsia="Calibri" w:hAnsi="Calibri" w:cs="Calibri"/>
          <w:sz w:val="20"/>
          <w:szCs w:val="20"/>
          <w:lang w:eastAsia="en-US"/>
        </w:rPr>
        <w:t>dzającego, prokurenta, pełno mocnika;</w:t>
      </w:r>
    </w:p>
    <w:p w:rsidR="00D970A1" w:rsidRDefault="00B43F40">
      <w:pPr>
        <w:pStyle w:val="Standard"/>
        <w:numPr>
          <w:ilvl w:val="0"/>
          <w:numId w:val="12"/>
        </w:numPr>
        <w:tabs>
          <w:tab w:val="left" w:pos="2836"/>
        </w:tabs>
        <w:suppressAutoHyphens w:val="0"/>
        <w:spacing w:after="200" w:line="276" w:lineRule="auto"/>
        <w:ind w:left="141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pozostawaniu w związku małżeńskim, w stosunku pokrewieństwa lub powinowactwa w linii prostej, pokrewieństwa lub powinowactwa w linii bocznej do drugiego stopnia lub w 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>
        <w:rPr>
          <w:rFonts w:ascii="Calibri" w:eastAsia="Calibri" w:hAnsi="Calibri" w:cs="Calibri"/>
          <w:sz w:val="22"/>
          <w:szCs w:val="22"/>
          <w:lang w:eastAsia="en-US"/>
        </w:rPr>
        <w:t>sunku przysposobienia, opieki lub kurateli.</w:t>
      </w:r>
    </w:p>
    <w:p w:rsidR="00D970A1" w:rsidRDefault="00B43F40">
      <w:pPr>
        <w:pStyle w:val="Standard"/>
        <w:spacing w:line="276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zw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iązku z powyższym Wykonawca jest zobowiązany do złożenia oświadczenia stanowiącego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3 </w:t>
      </w:r>
      <w:r>
        <w:rPr>
          <w:rFonts w:ascii="Calibri" w:eastAsia="Calibri" w:hAnsi="Calibri" w:cs="Calibri"/>
          <w:sz w:val="22"/>
          <w:szCs w:val="22"/>
          <w:lang w:eastAsia="en-US"/>
        </w:rPr>
        <w:t>do zapytania.</w:t>
      </w:r>
    </w:p>
    <w:p w:rsidR="00D970A1" w:rsidRDefault="00D970A1">
      <w:pPr>
        <w:pStyle w:val="ZALACZNIK-Wyliczenie2-x"/>
        <w:tabs>
          <w:tab w:val="clear" w:pos="1078"/>
          <w:tab w:val="clear" w:pos="9611"/>
          <w:tab w:val="left" w:pos="1372"/>
        </w:tabs>
        <w:ind w:left="833" w:firstLine="0"/>
        <w:rPr>
          <w:rFonts w:ascii="Calibri" w:hAnsi="Calibri" w:cs="Calibri"/>
          <w:b/>
          <w:sz w:val="22"/>
          <w:szCs w:val="22"/>
        </w:rPr>
      </w:pPr>
    </w:p>
    <w:p w:rsidR="00D970A1" w:rsidRDefault="00B43F40">
      <w:pPr>
        <w:pStyle w:val="ZALACZNIK-Wyliczenie2-x"/>
        <w:tabs>
          <w:tab w:val="clear" w:pos="1078"/>
          <w:tab w:val="clear" w:pos="9611"/>
          <w:tab w:val="left" w:pos="766"/>
        </w:tabs>
        <w:ind w:left="227" w:firstLine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8.     DODATKOWE POSTANOWIENIA:</w:t>
      </w:r>
    </w:p>
    <w:p w:rsidR="00D970A1" w:rsidRDefault="00D970A1">
      <w:pPr>
        <w:pStyle w:val="Standard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Treść oferty musi odpowiadać treści niniejszego zapytania ofertowego.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powinna być sformułowana w język</w:t>
      </w:r>
      <w:r>
        <w:rPr>
          <w:rFonts w:ascii="Calibri" w:hAnsi="Calibri" w:cs="Calibri"/>
          <w:sz w:val="22"/>
          <w:szCs w:val="22"/>
        </w:rPr>
        <w:t>u polskim,  w sposób zrozumiały, czytelny i kompletny.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może przed upływem terminu składania ofert zmienić lub wycofać ofertę.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poda kwotę oferty w polskich złotych (PLN).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Wykonawcy, z którymi podpisana zostanie umowa będą odpowiedzialni </w:t>
      </w:r>
      <w:r>
        <w:rPr>
          <w:rFonts w:ascii="Calibri" w:hAnsi="Calibri" w:cs="Calibri"/>
          <w:sz w:val="22"/>
          <w:szCs w:val="22"/>
        </w:rPr>
        <w:t>za przebieg oraz term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nowe wykonanie zamówienia.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ponosi wszelkie koszty własne związane z przygotowaniem i złożeniem oferty, niez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leżnie od wyniku postępowania.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wydłużenia terminu składania ofert w ramach zapytan</w:t>
      </w:r>
      <w:r>
        <w:rPr>
          <w:rFonts w:ascii="Calibri" w:hAnsi="Calibri" w:cs="Calibri"/>
          <w:sz w:val="22"/>
          <w:szCs w:val="22"/>
        </w:rPr>
        <w:t>ia ofertowego bez podania przyczyny.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 możliwości dokonania zmian w ogłoszeniu lub warunkach zamówienia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 unieważnienia postępowania na każdym etapie bez 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dawania przyczyny lub </w:t>
      </w:r>
      <w:r>
        <w:rPr>
          <w:rFonts w:ascii="Calibri" w:hAnsi="Calibri" w:cs="Calibri"/>
          <w:sz w:val="22"/>
          <w:szCs w:val="22"/>
        </w:rPr>
        <w:t>pozostawienia postępowania bez rozstrzygnięcia.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dopuszcza składania ofert wariantowych i cząsteczkowych.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wynikach rozstrzygnięcia Oferenci zostaną powiadomieni za pośrednictwem e-maila do wyk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nawcy.</w:t>
      </w:r>
    </w:p>
    <w:p w:rsidR="00D970A1" w:rsidRDefault="00B43F40">
      <w:pPr>
        <w:pStyle w:val="Standard"/>
        <w:numPr>
          <w:ilvl w:val="1"/>
          <w:numId w:val="12"/>
        </w:numPr>
        <w:suppressAutoHyphens w:val="0"/>
        <w:spacing w:after="200"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możliwość z</w:t>
      </w:r>
      <w:r>
        <w:rPr>
          <w:rFonts w:ascii="Calibri" w:hAnsi="Calibri" w:cs="Calibri"/>
          <w:sz w:val="22"/>
          <w:szCs w:val="22"/>
        </w:rPr>
        <w:t>miany warunków umowy/zamówienia zawartego z podmiotem wybranym w wyniku przeprowadzonego postępowania o udzieleniu zamówienia. Zmiana umowy może nastąpić z przyczyn wystąpienia okoliczności niezależnych od Wykonawcy lub Zamawiającego. Wszelkie zmiany umowy</w:t>
      </w:r>
      <w:r>
        <w:rPr>
          <w:rFonts w:ascii="Calibri" w:hAnsi="Calibri" w:cs="Calibri"/>
          <w:sz w:val="22"/>
          <w:szCs w:val="22"/>
        </w:rPr>
        <w:t xml:space="preserve"> wymagają formy pisemnej pod rygorem nieważn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ści.</w:t>
      </w:r>
    </w:p>
    <w:p w:rsidR="00D970A1" w:rsidRDefault="00B43F40">
      <w:pPr>
        <w:pStyle w:val="Standard"/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Załączniki:</w:t>
      </w:r>
    </w:p>
    <w:p w:rsidR="00D970A1" w:rsidRDefault="00D970A1">
      <w:pPr>
        <w:pStyle w:val="Standard"/>
        <w:suppressAutoHyphens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970A1" w:rsidRDefault="00B43F40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1. Formularz oferty</w:t>
      </w:r>
    </w:p>
    <w:p w:rsidR="00D970A1" w:rsidRDefault="00B43F40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2. Formularz asortymentowo- cenowy</w:t>
      </w:r>
    </w:p>
    <w:p w:rsidR="00D970A1" w:rsidRDefault="00B43F40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3. Oświadczenie dotyczące powiązań osobowych lub kapitałowych</w:t>
      </w:r>
    </w:p>
    <w:p w:rsidR="00D970A1" w:rsidRDefault="00B43F40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4. Oświadczenie dotyczące podstaw wy</w:t>
      </w:r>
      <w:r>
        <w:rPr>
          <w:rFonts w:ascii="Calibri" w:eastAsia="Calibri" w:hAnsi="Calibri" w:cs="Calibri"/>
          <w:sz w:val="22"/>
          <w:szCs w:val="22"/>
          <w:lang w:eastAsia="en-US"/>
        </w:rPr>
        <w:t>kluczenia</w:t>
      </w:r>
    </w:p>
    <w:p w:rsidR="00D970A1" w:rsidRDefault="00B43F40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5: Wzór umowy</w:t>
      </w:r>
    </w:p>
    <w:p w:rsidR="00D970A1" w:rsidRDefault="00D970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970A1" w:rsidRDefault="00D970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970A1" w:rsidRDefault="00D970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970A1" w:rsidRDefault="00D970A1">
      <w:pPr>
        <w:pStyle w:val="Standard"/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970A1" w:rsidRDefault="00D970A1">
      <w:pPr>
        <w:pStyle w:val="ZALACZNIKTEKST"/>
        <w:rPr>
          <w:rFonts w:ascii="Calibri" w:hAnsi="Calibri" w:cs="Calibri"/>
          <w:sz w:val="22"/>
          <w:szCs w:val="22"/>
        </w:rPr>
      </w:pPr>
    </w:p>
    <w:p w:rsidR="00D970A1" w:rsidRDefault="00B43F40">
      <w:pPr>
        <w:pStyle w:val="ZALACZNIKTEK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 Szkoły Podstawowejnr170</w:t>
      </w:r>
    </w:p>
    <w:p w:rsidR="00D970A1" w:rsidRDefault="00B43F40">
      <w:pPr>
        <w:pStyle w:val="ZALACZNIKTEK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im. Anieli </w:t>
      </w:r>
      <w:proofErr w:type="spellStart"/>
      <w:r>
        <w:rPr>
          <w:rFonts w:ascii="Calibri" w:hAnsi="Calibri" w:cs="Calibri"/>
          <w:sz w:val="22"/>
          <w:szCs w:val="22"/>
        </w:rPr>
        <w:t>Krzywoń</w:t>
      </w:r>
      <w:proofErr w:type="spellEnd"/>
      <w:r>
        <w:rPr>
          <w:rFonts w:ascii="Calibri" w:hAnsi="Calibri" w:cs="Calibri"/>
          <w:sz w:val="22"/>
          <w:szCs w:val="22"/>
        </w:rPr>
        <w:t xml:space="preserve">  w Łodzi</w:t>
      </w:r>
    </w:p>
    <w:p w:rsidR="00D970A1" w:rsidRDefault="00B43F40">
      <w:pPr>
        <w:pStyle w:val="ZALACZNIKTEKST"/>
        <w:ind w:left="5529"/>
        <w:jc w:val="righ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Iwona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Wojtacka</w:t>
      </w:r>
      <w:proofErr w:type="spellEnd"/>
    </w:p>
    <w:p w:rsidR="00D970A1" w:rsidRDefault="00B43F40">
      <w:pPr>
        <w:pStyle w:val="Standard"/>
        <w:spacing w:line="276" w:lineRule="auto"/>
        <w:ind w:left="70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podpis  osoby upoważnionej</w:t>
      </w:r>
    </w:p>
    <w:sectPr w:rsidR="00D970A1">
      <w:headerReference w:type="defaul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40" w:rsidRDefault="00B43F40">
      <w:r>
        <w:separator/>
      </w:r>
    </w:p>
  </w:endnote>
  <w:endnote w:type="continuationSeparator" w:id="0">
    <w:p w:rsidR="00B43F40" w:rsidRDefault="00B4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40" w:rsidRDefault="00B43F40">
      <w:r>
        <w:rPr>
          <w:color w:val="000000"/>
        </w:rPr>
        <w:separator/>
      </w:r>
    </w:p>
  </w:footnote>
  <w:footnote w:type="continuationSeparator" w:id="0">
    <w:p w:rsidR="00B43F40" w:rsidRDefault="00B4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88" w:rsidRDefault="00B43F40">
    <w:pPr>
      <w:pStyle w:val="Nagwek"/>
      <w:tabs>
        <w:tab w:val="clear" w:pos="9638"/>
        <w:tab w:val="right" w:pos="9617"/>
      </w:tabs>
    </w:pPr>
    <w:r>
      <w:rPr>
        <w:rFonts w:ascii="Arial" w:eastAsia="Times New Roman" w:hAnsi="Arial" w:cs="Calibri"/>
        <w:b/>
        <w:bCs/>
        <w:noProof/>
        <w:sz w:val="18"/>
        <w:szCs w:val="18"/>
        <w:lang w:eastAsia="pl-PL" w:bidi="ar-SA"/>
      </w:rPr>
      <w:drawing>
        <wp:inline distT="0" distB="0" distL="0" distR="0">
          <wp:extent cx="6118920" cy="68328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920" cy="68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8B8"/>
    <w:multiLevelType w:val="multilevel"/>
    <w:tmpl w:val="49EC6180"/>
    <w:styleLink w:val="WW8Num14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B393FB3"/>
    <w:multiLevelType w:val="multilevel"/>
    <w:tmpl w:val="F9FA87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D216841"/>
    <w:multiLevelType w:val="multilevel"/>
    <w:tmpl w:val="B4DE26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138254C"/>
    <w:multiLevelType w:val="multilevel"/>
    <w:tmpl w:val="3334AACE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279C568C"/>
    <w:multiLevelType w:val="multilevel"/>
    <w:tmpl w:val="1DC0BC68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326516D3"/>
    <w:multiLevelType w:val="multilevel"/>
    <w:tmpl w:val="8B98EA2E"/>
    <w:styleLink w:val="WW8Num175"/>
    <w:lvl w:ilvl="0">
      <w:start w:val="1"/>
      <w:numFmt w:val="lowerLetter"/>
      <w:lvlText w:val="%1)"/>
      <w:lvlJc w:val="left"/>
      <w:rPr>
        <w:rFonts w:ascii="Tahoma" w:eastAsia="TimesNewRoman" w:hAnsi="Tahoma" w:cs="Tahoma"/>
        <w:b w:val="0"/>
        <w:bCs/>
        <w:sz w:val="18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B0E3AA5"/>
    <w:multiLevelType w:val="multilevel"/>
    <w:tmpl w:val="F698BDDA"/>
    <w:styleLink w:val="WWNum1"/>
    <w:lvl w:ilvl="0">
      <w:numFmt w:val="bullet"/>
      <w:lvlText w:val="•"/>
      <w:lvlJc w:val="left"/>
      <w:rPr>
        <w:rFonts w:ascii="OpenSymbol" w:hAnsi="OpenSymbol" w:cs="Courier New"/>
      </w:rPr>
    </w:lvl>
    <w:lvl w:ilvl="1">
      <w:numFmt w:val="bullet"/>
      <w:lvlText w:val="•"/>
      <w:lvlJc w:val="left"/>
      <w:rPr>
        <w:rFonts w:ascii="OpenSymbol" w:hAnsi="OpenSymbol" w:cs="Courier New"/>
      </w:rPr>
    </w:lvl>
    <w:lvl w:ilvl="2">
      <w:numFmt w:val="bullet"/>
      <w:lvlText w:val="•"/>
      <w:lvlJc w:val="left"/>
      <w:rPr>
        <w:rFonts w:ascii="OpenSymbol" w:hAnsi="OpenSymbol" w:cs="Courier New"/>
      </w:rPr>
    </w:lvl>
    <w:lvl w:ilvl="3">
      <w:numFmt w:val="bullet"/>
      <w:lvlText w:val="•"/>
      <w:lvlJc w:val="left"/>
      <w:rPr>
        <w:rFonts w:ascii="OpenSymbol" w:hAnsi="OpenSymbol" w:cs="Courier New"/>
      </w:rPr>
    </w:lvl>
    <w:lvl w:ilvl="4">
      <w:numFmt w:val="bullet"/>
      <w:lvlText w:val="•"/>
      <w:lvlJc w:val="left"/>
      <w:rPr>
        <w:rFonts w:ascii="OpenSymbol" w:hAnsi="OpenSymbol" w:cs="Courier New"/>
      </w:rPr>
    </w:lvl>
    <w:lvl w:ilvl="5">
      <w:numFmt w:val="bullet"/>
      <w:lvlText w:val="•"/>
      <w:lvlJc w:val="left"/>
      <w:rPr>
        <w:rFonts w:ascii="OpenSymbol" w:hAnsi="OpenSymbol" w:cs="Courier New"/>
      </w:rPr>
    </w:lvl>
    <w:lvl w:ilvl="6">
      <w:numFmt w:val="bullet"/>
      <w:lvlText w:val="•"/>
      <w:lvlJc w:val="left"/>
      <w:rPr>
        <w:rFonts w:ascii="OpenSymbol" w:hAnsi="OpenSymbol" w:cs="Courier New"/>
      </w:rPr>
    </w:lvl>
    <w:lvl w:ilvl="7">
      <w:numFmt w:val="bullet"/>
      <w:lvlText w:val="•"/>
      <w:lvlJc w:val="left"/>
      <w:rPr>
        <w:rFonts w:ascii="OpenSymbol" w:hAnsi="OpenSymbol" w:cs="Courier New"/>
      </w:rPr>
    </w:lvl>
    <w:lvl w:ilvl="8">
      <w:numFmt w:val="bullet"/>
      <w:lvlText w:val="•"/>
      <w:lvlJc w:val="left"/>
      <w:rPr>
        <w:rFonts w:ascii="OpenSymbol" w:hAnsi="OpenSymbol" w:cs="Courier New"/>
      </w:rPr>
    </w:lvl>
  </w:abstractNum>
  <w:abstractNum w:abstractNumId="7">
    <w:nsid w:val="49227031"/>
    <w:multiLevelType w:val="multilevel"/>
    <w:tmpl w:val="A446900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4DAD2666"/>
    <w:multiLevelType w:val="multilevel"/>
    <w:tmpl w:val="A772504C"/>
    <w:styleLink w:val="WW8Num43"/>
    <w:lvl w:ilvl="0">
      <w:start w:val="3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18B0D4E"/>
    <w:multiLevelType w:val="multilevel"/>
    <w:tmpl w:val="2E340F02"/>
    <w:styleLink w:val="WW8Num165"/>
    <w:lvl w:ilvl="0">
      <w:start w:val="1"/>
      <w:numFmt w:val="decimal"/>
      <w:lvlText w:val="%1."/>
      <w:lvlJc w:val="right"/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5400DF5"/>
    <w:multiLevelType w:val="multilevel"/>
    <w:tmpl w:val="24CAB8D0"/>
    <w:styleLink w:val="WWNum3"/>
    <w:lvl w:ilvl="0">
      <w:numFmt w:val="bullet"/>
      <w:lvlText w:val="•"/>
      <w:lvlJc w:val="left"/>
      <w:rPr>
        <w:rFonts w:ascii="OpenSymbol" w:hAnsi="OpenSymbol" w:cs="Courier New"/>
      </w:rPr>
    </w:lvl>
    <w:lvl w:ilvl="1">
      <w:numFmt w:val="bullet"/>
      <w:lvlText w:val="•"/>
      <w:lvlJc w:val="left"/>
      <w:rPr>
        <w:rFonts w:ascii="OpenSymbol" w:hAnsi="OpenSymbol" w:cs="Courier New"/>
      </w:rPr>
    </w:lvl>
    <w:lvl w:ilvl="2">
      <w:numFmt w:val="bullet"/>
      <w:lvlText w:val="•"/>
      <w:lvlJc w:val="left"/>
      <w:rPr>
        <w:rFonts w:ascii="OpenSymbol" w:hAnsi="OpenSymbol" w:cs="Courier New"/>
      </w:rPr>
    </w:lvl>
    <w:lvl w:ilvl="3">
      <w:numFmt w:val="bullet"/>
      <w:lvlText w:val="•"/>
      <w:lvlJc w:val="left"/>
      <w:rPr>
        <w:rFonts w:ascii="OpenSymbol" w:hAnsi="OpenSymbol" w:cs="Courier New"/>
      </w:rPr>
    </w:lvl>
    <w:lvl w:ilvl="4">
      <w:numFmt w:val="bullet"/>
      <w:lvlText w:val="•"/>
      <w:lvlJc w:val="left"/>
      <w:rPr>
        <w:rFonts w:ascii="OpenSymbol" w:hAnsi="OpenSymbol" w:cs="Courier New"/>
      </w:rPr>
    </w:lvl>
    <w:lvl w:ilvl="5">
      <w:numFmt w:val="bullet"/>
      <w:lvlText w:val="•"/>
      <w:lvlJc w:val="left"/>
      <w:rPr>
        <w:rFonts w:ascii="OpenSymbol" w:hAnsi="OpenSymbol" w:cs="Courier New"/>
      </w:rPr>
    </w:lvl>
    <w:lvl w:ilvl="6">
      <w:numFmt w:val="bullet"/>
      <w:lvlText w:val="•"/>
      <w:lvlJc w:val="left"/>
      <w:rPr>
        <w:rFonts w:ascii="OpenSymbol" w:hAnsi="OpenSymbol" w:cs="Courier New"/>
      </w:rPr>
    </w:lvl>
    <w:lvl w:ilvl="7">
      <w:numFmt w:val="bullet"/>
      <w:lvlText w:val="•"/>
      <w:lvlJc w:val="left"/>
      <w:rPr>
        <w:rFonts w:ascii="OpenSymbol" w:hAnsi="OpenSymbol" w:cs="Courier New"/>
      </w:rPr>
    </w:lvl>
    <w:lvl w:ilvl="8">
      <w:numFmt w:val="bullet"/>
      <w:lvlText w:val="•"/>
      <w:lvlJc w:val="left"/>
      <w:rPr>
        <w:rFonts w:ascii="OpenSymbol" w:hAnsi="OpenSymbol" w:cs="Courier New"/>
      </w:rPr>
    </w:lvl>
  </w:abstractNum>
  <w:abstractNum w:abstractNumId="11">
    <w:nsid w:val="656B7D2C"/>
    <w:multiLevelType w:val="multilevel"/>
    <w:tmpl w:val="8EC25230"/>
    <w:lvl w:ilvl="0">
      <w:start w:val="1"/>
      <w:numFmt w:val="decimal"/>
      <w:lvlText w:val="%1."/>
      <w:lvlJc w:val="left"/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rPr>
        <w:rFonts w:ascii="Tahoma" w:hAnsi="Tahoma" w:cs="Tahoma"/>
        <w:sz w:val="18"/>
        <w:szCs w:val="18"/>
      </w:rPr>
    </w:lvl>
    <w:lvl w:ilvl="2">
      <w:start w:val="1"/>
      <w:numFmt w:val="decimal"/>
      <w:lvlText w:val="%3."/>
      <w:lvlJc w:val="left"/>
      <w:rPr>
        <w:rFonts w:ascii="Tahoma" w:hAnsi="Tahoma" w:cs="Tahoma"/>
        <w:sz w:val="18"/>
        <w:szCs w:val="18"/>
      </w:rPr>
    </w:lvl>
    <w:lvl w:ilvl="3">
      <w:start w:val="1"/>
      <w:numFmt w:val="decimal"/>
      <w:lvlText w:val="%4."/>
      <w:lvlJc w:val="left"/>
      <w:rPr>
        <w:rFonts w:ascii="Tahoma" w:hAnsi="Tahoma" w:cs="Tahoma"/>
        <w:sz w:val="18"/>
        <w:szCs w:val="18"/>
      </w:rPr>
    </w:lvl>
    <w:lvl w:ilvl="4">
      <w:start w:val="1"/>
      <w:numFmt w:val="decimal"/>
      <w:lvlText w:val="%5."/>
      <w:lvlJc w:val="left"/>
      <w:rPr>
        <w:rFonts w:ascii="Tahoma" w:hAnsi="Tahoma" w:cs="Tahoma"/>
        <w:sz w:val="18"/>
        <w:szCs w:val="18"/>
      </w:rPr>
    </w:lvl>
    <w:lvl w:ilvl="5">
      <w:start w:val="1"/>
      <w:numFmt w:val="decimal"/>
      <w:lvlText w:val="%6."/>
      <w:lvlJc w:val="left"/>
      <w:rPr>
        <w:rFonts w:ascii="Tahoma" w:hAnsi="Tahoma" w:cs="Tahoma"/>
        <w:sz w:val="18"/>
        <w:szCs w:val="18"/>
      </w:rPr>
    </w:lvl>
    <w:lvl w:ilvl="6">
      <w:start w:val="1"/>
      <w:numFmt w:val="decimal"/>
      <w:lvlText w:val="%7."/>
      <w:lvlJc w:val="left"/>
      <w:rPr>
        <w:rFonts w:ascii="Tahoma" w:hAnsi="Tahoma" w:cs="Tahoma"/>
        <w:sz w:val="18"/>
        <w:szCs w:val="18"/>
      </w:rPr>
    </w:lvl>
    <w:lvl w:ilvl="7">
      <w:start w:val="1"/>
      <w:numFmt w:val="decimal"/>
      <w:lvlText w:val="%8."/>
      <w:lvlJc w:val="left"/>
      <w:rPr>
        <w:rFonts w:ascii="Tahoma" w:hAnsi="Tahoma" w:cs="Tahoma"/>
        <w:sz w:val="18"/>
        <w:szCs w:val="18"/>
      </w:rPr>
    </w:lvl>
    <w:lvl w:ilvl="8">
      <w:start w:val="1"/>
      <w:numFmt w:val="decimal"/>
      <w:lvlText w:val="%9."/>
      <w:lvlJc w:val="left"/>
      <w:rPr>
        <w:rFonts w:ascii="Tahoma" w:hAnsi="Tahoma" w:cs="Tahoma"/>
        <w:sz w:val="18"/>
        <w:szCs w:val="18"/>
      </w:rPr>
    </w:lvl>
  </w:abstractNum>
  <w:abstractNum w:abstractNumId="12">
    <w:nsid w:val="677A0521"/>
    <w:multiLevelType w:val="multilevel"/>
    <w:tmpl w:val="06D0A702"/>
    <w:styleLink w:val="WW8Num180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8A602DF"/>
    <w:multiLevelType w:val="multilevel"/>
    <w:tmpl w:val="C0D092B8"/>
    <w:styleLink w:val="WW8Num1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sz w:val="22"/>
        <w:szCs w:val="22"/>
        <w:lang w:eastAsia="en-US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69202FDF"/>
    <w:multiLevelType w:val="multilevel"/>
    <w:tmpl w:val="986E22BE"/>
    <w:lvl w:ilvl="0">
      <w:start w:val="1"/>
      <w:numFmt w:val="decimal"/>
      <w:lvlText w:val="%1."/>
      <w:lvlJc w:val="left"/>
      <w:rPr>
        <w:rFonts w:eastAsia="Times New Roman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BB7679F"/>
    <w:multiLevelType w:val="multilevel"/>
    <w:tmpl w:val="24D43DD0"/>
    <w:styleLink w:val="WWNum2"/>
    <w:lvl w:ilvl="0">
      <w:numFmt w:val="bullet"/>
      <w:lvlText w:val="•"/>
      <w:lvlJc w:val="left"/>
      <w:rPr>
        <w:rFonts w:ascii="OpenSymbol" w:hAnsi="OpenSymbol" w:cs="Courier New"/>
      </w:rPr>
    </w:lvl>
    <w:lvl w:ilvl="1">
      <w:numFmt w:val="bullet"/>
      <w:lvlText w:val="•"/>
      <w:lvlJc w:val="left"/>
      <w:rPr>
        <w:rFonts w:ascii="OpenSymbol" w:hAnsi="OpenSymbol" w:cs="Courier New"/>
      </w:rPr>
    </w:lvl>
    <w:lvl w:ilvl="2">
      <w:numFmt w:val="bullet"/>
      <w:lvlText w:val="•"/>
      <w:lvlJc w:val="left"/>
      <w:rPr>
        <w:rFonts w:ascii="OpenSymbol" w:hAnsi="OpenSymbol" w:cs="Courier New"/>
      </w:rPr>
    </w:lvl>
    <w:lvl w:ilvl="3">
      <w:numFmt w:val="bullet"/>
      <w:lvlText w:val="•"/>
      <w:lvlJc w:val="left"/>
      <w:rPr>
        <w:rFonts w:ascii="OpenSymbol" w:hAnsi="OpenSymbol" w:cs="Courier New"/>
      </w:rPr>
    </w:lvl>
    <w:lvl w:ilvl="4">
      <w:numFmt w:val="bullet"/>
      <w:lvlText w:val="•"/>
      <w:lvlJc w:val="left"/>
      <w:rPr>
        <w:rFonts w:ascii="OpenSymbol" w:hAnsi="OpenSymbol" w:cs="Courier New"/>
      </w:rPr>
    </w:lvl>
    <w:lvl w:ilvl="5">
      <w:numFmt w:val="bullet"/>
      <w:lvlText w:val="•"/>
      <w:lvlJc w:val="left"/>
      <w:rPr>
        <w:rFonts w:ascii="OpenSymbol" w:hAnsi="OpenSymbol" w:cs="Courier New"/>
      </w:rPr>
    </w:lvl>
    <w:lvl w:ilvl="6">
      <w:numFmt w:val="bullet"/>
      <w:lvlText w:val="•"/>
      <w:lvlJc w:val="left"/>
      <w:rPr>
        <w:rFonts w:ascii="OpenSymbol" w:hAnsi="OpenSymbol" w:cs="Courier New"/>
      </w:rPr>
    </w:lvl>
    <w:lvl w:ilvl="7">
      <w:numFmt w:val="bullet"/>
      <w:lvlText w:val="•"/>
      <w:lvlJc w:val="left"/>
      <w:rPr>
        <w:rFonts w:ascii="OpenSymbol" w:hAnsi="OpenSymbol" w:cs="Courier New"/>
      </w:rPr>
    </w:lvl>
    <w:lvl w:ilvl="8">
      <w:numFmt w:val="bullet"/>
      <w:lvlText w:val="•"/>
      <w:lvlJc w:val="left"/>
      <w:rPr>
        <w:rFonts w:ascii="OpenSymbol" w:hAnsi="OpenSymbol" w:cs="Courier New"/>
      </w:rPr>
    </w:lvl>
  </w:abstractNum>
  <w:abstractNum w:abstractNumId="16">
    <w:nsid w:val="7E1075BA"/>
    <w:multiLevelType w:val="multilevel"/>
    <w:tmpl w:val="55564592"/>
    <w:lvl w:ilvl="0">
      <w:start w:val="1"/>
      <w:numFmt w:val="decimal"/>
      <w:lvlText w:val="%1."/>
      <w:lvlJc w:val="left"/>
      <w:rPr>
        <w:rFonts w:ascii="Tahoma" w:hAnsi="Tahoma" w:cs="Tahoma"/>
        <w:i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E6A0018"/>
    <w:multiLevelType w:val="multilevel"/>
    <w:tmpl w:val="9308271A"/>
    <w:styleLink w:val="WW8Num179"/>
    <w:lvl w:ilvl="0">
      <w:start w:val="1"/>
      <w:numFmt w:val="decimal"/>
      <w:lvlText w:val="%1)"/>
      <w:lvlJc w:val="left"/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17"/>
  </w:num>
  <w:num w:numId="13">
    <w:abstractNumId w:val="13"/>
    <w:lvlOverride w:ilvl="0">
      <w:startOverride w:val="1"/>
    </w:lvlOverride>
  </w:num>
  <w:num w:numId="14">
    <w:abstractNumId w:val="1"/>
  </w:num>
  <w:num w:numId="15">
    <w:abstractNumId w:val="2"/>
  </w:num>
  <w:num w:numId="16">
    <w:abstractNumId w:val="10"/>
    <w:lvlOverride w:ilvl="0"/>
  </w:num>
  <w:num w:numId="17">
    <w:abstractNumId w:val="15"/>
    <w:lvlOverride w:ilvl="0"/>
  </w:num>
  <w:num w:numId="18">
    <w:abstractNumId w:val="7"/>
  </w:num>
  <w:num w:numId="19">
    <w:abstractNumId w:val="16"/>
  </w:num>
  <w:num w:numId="20">
    <w:abstractNumId w:val="12"/>
    <w:lvlOverride w:ilvl="0">
      <w:startOverride w:val="1"/>
    </w:lvlOverride>
  </w:num>
  <w:num w:numId="21">
    <w:abstractNumId w:val="14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5"/>
    <w:lvlOverride w:ilvl="0">
      <w:startOverride w:val="1"/>
    </w:lvlOverride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70A1"/>
    <w:rsid w:val="00963648"/>
    <w:rsid w:val="00B43F40"/>
    <w:rsid w:val="00D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SimSun, 宋体" w:hAnsi="Arial"/>
      <w:sz w:val="20"/>
      <w:szCs w:val="16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styleId="Bezodstpw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Domynie">
    <w:name w:val="Domy徑nie"/>
    <w:pPr>
      <w:widowControl/>
      <w:autoSpaceDE w:val="0"/>
      <w:spacing w:line="100" w:lineRule="atLeast"/>
    </w:pPr>
    <w:rPr>
      <w:rFonts w:eastAsia="SimSun, 宋体" w:cs="Times New Roman"/>
      <w:lang w:bidi="ar-SA"/>
    </w:rPr>
  </w:style>
  <w:style w:type="paragraph" w:styleId="Akapitzlist">
    <w:name w:val="List Paragraph"/>
    <w:basedOn w:val="Domynie"/>
    <w:pPr>
      <w:spacing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widowControl/>
      <w:autoSpaceDE w:val="0"/>
    </w:pPr>
    <w:rPr>
      <w:rFonts w:eastAsia="SimSun, 宋体" w:cs="Times New Roman"/>
      <w:color w:val="000000"/>
      <w:lang w:bidi="ar-SA"/>
    </w:r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SimSun, 宋体" w:hAnsi="Arial"/>
      <w:sz w:val="20"/>
      <w:szCs w:val="16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648"/>
    <w:rPr>
      <w:rFonts w:ascii="Tahoma" w:hAnsi="Tahoma" w:cs="Mangal"/>
      <w:sz w:val="16"/>
      <w:szCs w:val="14"/>
    </w:rPr>
  </w:style>
  <w:style w:type="character" w:customStyle="1" w:styleId="Domylnaczcionkaakapitu2">
    <w:name w:val="Domyślna czcionka akapitu2"/>
  </w:style>
  <w:style w:type="character" w:customStyle="1" w:styleId="attribute-value">
    <w:name w:val="attribute-valu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48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Tahoma" w:hAnsi="Tahoma" w:cs="Tahoma"/>
      <w:sz w:val="18"/>
      <w:szCs w:val="18"/>
    </w:rPr>
  </w:style>
  <w:style w:type="character" w:customStyle="1" w:styleId="markedcontent">
    <w:name w:val="markedcontent"/>
    <w:basedOn w:val="Domylnaczcionkaakapitu"/>
  </w:style>
  <w:style w:type="numbering" w:customStyle="1" w:styleId="WW8Num174">
    <w:name w:val="WW8Num174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11">
    <w:name w:val="WWNum11"/>
    <w:basedOn w:val="Bezlisty"/>
    <w:pPr>
      <w:numPr>
        <w:numId w:val="3"/>
      </w:numPr>
    </w:pPr>
  </w:style>
  <w:style w:type="numbering" w:customStyle="1" w:styleId="WW8Num43">
    <w:name w:val="WW8Num43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8Num180">
    <w:name w:val="WW8Num180"/>
    <w:basedOn w:val="Bezlisty"/>
    <w:pPr>
      <w:numPr>
        <w:numId w:val="8"/>
      </w:numPr>
    </w:pPr>
  </w:style>
  <w:style w:type="numbering" w:customStyle="1" w:styleId="WW8Num175">
    <w:name w:val="WW8Num175"/>
    <w:basedOn w:val="Bezlisty"/>
    <w:pPr>
      <w:numPr>
        <w:numId w:val="9"/>
      </w:numPr>
    </w:pPr>
  </w:style>
  <w:style w:type="numbering" w:customStyle="1" w:styleId="WW8Num165">
    <w:name w:val="WW8Num165"/>
    <w:basedOn w:val="Bezlisty"/>
    <w:pPr>
      <w:numPr>
        <w:numId w:val="10"/>
      </w:numPr>
    </w:pPr>
  </w:style>
  <w:style w:type="numbering" w:customStyle="1" w:styleId="WW8Num144">
    <w:name w:val="WW8Num144"/>
    <w:basedOn w:val="Bezlisty"/>
    <w:pPr>
      <w:numPr>
        <w:numId w:val="11"/>
      </w:numPr>
    </w:pPr>
  </w:style>
  <w:style w:type="numbering" w:customStyle="1" w:styleId="WW8Num179">
    <w:name w:val="WW8Num179"/>
    <w:basedOn w:val="Bezlisty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SimSun, 宋体" w:hAnsi="Arial"/>
      <w:sz w:val="20"/>
      <w:szCs w:val="16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styleId="Bezodstpw">
    <w:name w:val="No Spacing"/>
    <w:pPr>
      <w:widowControl/>
    </w:pPr>
    <w:rPr>
      <w:rFonts w:ascii="Calibri" w:eastAsia="SimSun, 宋体" w:hAnsi="Calibri" w:cs="Calibri"/>
      <w:sz w:val="22"/>
      <w:szCs w:val="22"/>
      <w:lang w:bidi="ar-SA"/>
    </w:rPr>
  </w:style>
  <w:style w:type="paragraph" w:customStyle="1" w:styleId="Domynie">
    <w:name w:val="Domy徑nie"/>
    <w:pPr>
      <w:widowControl/>
      <w:autoSpaceDE w:val="0"/>
      <w:spacing w:line="100" w:lineRule="atLeast"/>
    </w:pPr>
    <w:rPr>
      <w:rFonts w:eastAsia="SimSun, 宋体" w:cs="Times New Roman"/>
      <w:lang w:bidi="ar-SA"/>
    </w:rPr>
  </w:style>
  <w:style w:type="paragraph" w:styleId="Akapitzlist">
    <w:name w:val="List Paragraph"/>
    <w:basedOn w:val="Domynie"/>
    <w:pPr>
      <w:spacing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widowControl/>
      <w:autoSpaceDE w:val="0"/>
    </w:pPr>
    <w:rPr>
      <w:rFonts w:eastAsia="SimSun, 宋体" w:cs="Times New Roman"/>
      <w:color w:val="000000"/>
      <w:lang w:bidi="ar-SA"/>
    </w:r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SimSun, 宋体" w:hAnsi="Arial"/>
      <w:sz w:val="20"/>
      <w:szCs w:val="16"/>
      <w:lang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648"/>
    <w:rPr>
      <w:rFonts w:ascii="Tahoma" w:hAnsi="Tahoma" w:cs="Mangal"/>
      <w:sz w:val="16"/>
      <w:szCs w:val="14"/>
    </w:rPr>
  </w:style>
  <w:style w:type="character" w:customStyle="1" w:styleId="Domylnaczcionkaakapitu2">
    <w:name w:val="Domyślna czcionka akapitu2"/>
  </w:style>
  <w:style w:type="character" w:customStyle="1" w:styleId="attribute-value">
    <w:name w:val="attribute-valu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48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  <w:rPr>
      <w:rFonts w:ascii="Tahoma" w:hAnsi="Tahoma" w:cs="Tahoma"/>
      <w:sz w:val="18"/>
      <w:szCs w:val="18"/>
    </w:rPr>
  </w:style>
  <w:style w:type="character" w:customStyle="1" w:styleId="markedcontent">
    <w:name w:val="markedcontent"/>
    <w:basedOn w:val="Domylnaczcionkaakapitu"/>
  </w:style>
  <w:style w:type="numbering" w:customStyle="1" w:styleId="WW8Num174">
    <w:name w:val="WW8Num174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11">
    <w:name w:val="WWNum11"/>
    <w:basedOn w:val="Bezlisty"/>
    <w:pPr>
      <w:numPr>
        <w:numId w:val="3"/>
      </w:numPr>
    </w:pPr>
  </w:style>
  <w:style w:type="numbering" w:customStyle="1" w:styleId="WW8Num43">
    <w:name w:val="WW8Num43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8Num180">
    <w:name w:val="WW8Num180"/>
    <w:basedOn w:val="Bezlisty"/>
    <w:pPr>
      <w:numPr>
        <w:numId w:val="8"/>
      </w:numPr>
    </w:pPr>
  </w:style>
  <w:style w:type="numbering" w:customStyle="1" w:styleId="WW8Num175">
    <w:name w:val="WW8Num175"/>
    <w:basedOn w:val="Bezlisty"/>
    <w:pPr>
      <w:numPr>
        <w:numId w:val="9"/>
      </w:numPr>
    </w:pPr>
  </w:style>
  <w:style w:type="numbering" w:customStyle="1" w:styleId="WW8Num165">
    <w:name w:val="WW8Num165"/>
    <w:basedOn w:val="Bezlisty"/>
    <w:pPr>
      <w:numPr>
        <w:numId w:val="10"/>
      </w:numPr>
    </w:pPr>
  </w:style>
  <w:style w:type="numbering" w:customStyle="1" w:styleId="WW8Num144">
    <w:name w:val="WW8Num144"/>
    <w:basedOn w:val="Bezlisty"/>
    <w:pPr>
      <w:numPr>
        <w:numId w:val="11"/>
      </w:numPr>
    </w:pPr>
  </w:style>
  <w:style w:type="numbering" w:customStyle="1" w:styleId="WW8Num179">
    <w:name w:val="WW8Num179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kategoria/projektory-urzadzenia-259431?technologia-wyswietlania=DLP" TargetMode="External"/><Relationship Id="rId13" Type="http://schemas.openxmlformats.org/officeDocument/2006/relationships/hyperlink" Target="https://motioncube.io/pl/pakiet/kulkow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tioncube.io/pl/pakiet/rusz-glo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tioncube.io/pl/pakiet/w-krainie-kolor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tioncube.io/pl/pakiet/mali-odkryw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egro.pl/kategoria/projektory-urzadzenia-259431?rozdzielczosc-podstawowa-px=1024%20x%2076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10</Pages>
  <Words>3439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2022-09-28T09:35:00Z</dcterms:created>
  <dcterms:modified xsi:type="dcterms:W3CDTF">2022-10-05T07:28:00Z</dcterms:modified>
</cp:coreProperties>
</file>